
<file path=[Content_Types].xml><?xml version="1.0" encoding="utf-8"?>
<Types xmlns="http://schemas.openxmlformats.org/package/2006/content-types">
  <Default Extension="xml" ContentType="application/xml"/>
  <Default Extension="png" ContentType="image/png"/>
  <Default Extension="tiff" ContentType="image/tiff"/>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sz w:val="44"/>
          <w:szCs w:val="44"/>
        </w:rPr>
      </w:pPr>
    </w:p>
    <w:p>
      <w:pPr>
        <w:rPr>
          <w:rFonts w:ascii="黑体" w:hAnsi="黑体" w:eastAsia="黑体" w:cs="黑体"/>
          <w:sz w:val="52"/>
          <w:szCs w:val="52"/>
        </w:rPr>
      </w:pPr>
    </w:p>
    <w:p>
      <w:pPr>
        <w:spacing w:line="720" w:lineRule="auto"/>
        <w:jc w:val="center"/>
        <w:rPr>
          <w:rFonts w:ascii="黑体" w:hAnsi="黑体" w:eastAsia="黑体" w:cs="黑体"/>
          <w:b/>
          <w:sz w:val="52"/>
          <w:szCs w:val="52"/>
        </w:rPr>
      </w:pPr>
      <w:r>
        <w:rPr>
          <w:rFonts w:hint="eastAsia" w:ascii="黑体" w:hAnsi="黑体" w:eastAsia="黑体" w:cs="黑体"/>
          <w:b/>
          <w:sz w:val="52"/>
          <w:szCs w:val="52"/>
        </w:rPr>
        <w:t>大运河宿州段生态环境保护修复</w:t>
      </w:r>
    </w:p>
    <w:p>
      <w:pPr>
        <w:spacing w:line="720" w:lineRule="auto"/>
        <w:jc w:val="center"/>
        <w:rPr>
          <w:sz w:val="44"/>
          <w:szCs w:val="44"/>
        </w:rPr>
      </w:pPr>
    </w:p>
    <w:p>
      <w:pPr>
        <w:spacing w:line="720" w:lineRule="auto"/>
        <w:jc w:val="center"/>
        <w:rPr>
          <w:rFonts w:ascii="楷体_GB2312" w:hAnsi="楷体_GB2312" w:eastAsia="楷体_GB2312" w:cs="楷体_GB2312"/>
          <w:b/>
          <w:sz w:val="84"/>
          <w:szCs w:val="84"/>
        </w:rPr>
      </w:pPr>
      <w:r>
        <w:rPr>
          <w:rFonts w:hint="eastAsia" w:ascii="楷体_GB2312" w:hAnsi="楷体_GB2312" w:eastAsia="楷体_GB2312" w:cs="楷体_GB2312"/>
          <w:b/>
          <w:sz w:val="84"/>
          <w:szCs w:val="84"/>
        </w:rPr>
        <w:t>实</w:t>
      </w:r>
      <w:bookmarkStart w:id="209" w:name="_GoBack"/>
      <w:bookmarkEnd w:id="209"/>
    </w:p>
    <w:p>
      <w:pPr>
        <w:spacing w:line="720" w:lineRule="auto"/>
        <w:jc w:val="center"/>
        <w:rPr>
          <w:rFonts w:ascii="楷体_GB2312" w:hAnsi="楷体_GB2312" w:eastAsia="楷体_GB2312" w:cs="楷体_GB2312"/>
          <w:b/>
          <w:sz w:val="84"/>
          <w:szCs w:val="84"/>
        </w:rPr>
      </w:pPr>
      <w:r>
        <w:rPr>
          <w:rFonts w:hint="eastAsia" w:ascii="楷体_GB2312" w:hAnsi="楷体_GB2312" w:eastAsia="楷体_GB2312" w:cs="楷体_GB2312"/>
          <w:b/>
          <w:sz w:val="84"/>
          <w:szCs w:val="84"/>
        </w:rPr>
        <w:t>施</w:t>
      </w:r>
    </w:p>
    <w:p>
      <w:pPr>
        <w:spacing w:line="720" w:lineRule="auto"/>
        <w:jc w:val="center"/>
        <w:rPr>
          <w:rFonts w:ascii="楷体_GB2312" w:hAnsi="楷体_GB2312" w:eastAsia="楷体_GB2312" w:cs="楷体_GB2312"/>
          <w:b/>
          <w:sz w:val="84"/>
          <w:szCs w:val="84"/>
        </w:rPr>
      </w:pPr>
      <w:r>
        <w:rPr>
          <w:rFonts w:hint="eastAsia" w:ascii="楷体_GB2312" w:hAnsi="楷体_GB2312" w:eastAsia="楷体_GB2312" w:cs="楷体_GB2312"/>
          <w:b/>
          <w:sz w:val="84"/>
          <w:szCs w:val="84"/>
        </w:rPr>
        <w:t>方</w:t>
      </w:r>
    </w:p>
    <w:p>
      <w:pPr>
        <w:spacing w:line="720" w:lineRule="auto"/>
        <w:jc w:val="center"/>
        <w:rPr>
          <w:rFonts w:ascii="楷体_GB2312" w:hAnsi="楷体_GB2312" w:eastAsia="楷体_GB2312" w:cs="楷体_GB2312"/>
          <w:b/>
          <w:sz w:val="84"/>
          <w:szCs w:val="84"/>
        </w:rPr>
      </w:pPr>
      <w:r>
        <w:rPr>
          <w:rFonts w:hint="eastAsia" w:ascii="楷体_GB2312" w:hAnsi="楷体_GB2312" w:eastAsia="楷体_GB2312" w:cs="楷体_GB2312"/>
          <w:b/>
          <w:sz w:val="84"/>
          <w:szCs w:val="84"/>
        </w:rPr>
        <w:t>案</w:t>
      </w:r>
    </w:p>
    <w:p>
      <w:pPr>
        <w:spacing w:line="720" w:lineRule="auto"/>
        <w:jc w:val="center"/>
        <w:rPr>
          <w:b/>
          <w:sz w:val="52"/>
          <w:szCs w:val="52"/>
        </w:rPr>
      </w:pPr>
    </w:p>
    <w:p>
      <w:pPr>
        <w:pStyle w:val="2"/>
      </w:pPr>
    </w:p>
    <w:p>
      <w:pPr>
        <w:spacing w:line="360" w:lineRule="auto"/>
        <w:jc w:val="center"/>
        <w:rPr>
          <w:b/>
          <w:sz w:val="36"/>
          <w:szCs w:val="36"/>
        </w:rPr>
      </w:pPr>
      <w:r>
        <w:rPr>
          <w:rFonts w:hint="eastAsia"/>
          <w:b/>
          <w:sz w:val="36"/>
          <w:szCs w:val="36"/>
        </w:rPr>
        <w:t>宿州市生态环境局</w:t>
      </w:r>
    </w:p>
    <w:p>
      <w:pPr>
        <w:spacing w:line="360" w:lineRule="auto"/>
        <w:jc w:val="center"/>
        <w:rPr>
          <w:b/>
          <w:sz w:val="36"/>
          <w:szCs w:val="36"/>
        </w:rPr>
      </w:pPr>
      <w:r>
        <w:rPr>
          <w:rFonts w:hint="eastAsia"/>
          <w:b/>
          <w:sz w:val="36"/>
          <w:szCs w:val="36"/>
        </w:rPr>
        <w:t>安徽省宿州市生态环境监测中心</w:t>
      </w:r>
    </w:p>
    <w:p>
      <w:pPr>
        <w:spacing w:line="360" w:lineRule="auto"/>
        <w:jc w:val="center"/>
        <w:rPr>
          <w:b/>
          <w:sz w:val="36"/>
          <w:szCs w:val="36"/>
        </w:rPr>
      </w:pPr>
      <w:r>
        <w:rPr>
          <w:rFonts w:hint="eastAsia"/>
          <w:b/>
          <w:sz w:val="36"/>
          <w:szCs w:val="36"/>
        </w:rPr>
        <w:t>安徽建筑大学</w:t>
      </w:r>
    </w:p>
    <w:p>
      <w:pPr>
        <w:spacing w:line="360" w:lineRule="auto"/>
        <w:jc w:val="center"/>
        <w:rPr>
          <w:b/>
          <w:sz w:val="36"/>
          <w:szCs w:val="36"/>
        </w:rPr>
      </w:pPr>
      <w:r>
        <w:rPr>
          <w:rFonts w:hint="eastAsia"/>
          <w:b/>
          <w:color w:val="000000" w:themeColor="text1"/>
          <w:sz w:val="36"/>
          <w:szCs w:val="36"/>
          <w14:textFill>
            <w14:solidFill>
              <w14:schemeClr w14:val="tx1"/>
            </w14:solidFill>
          </w14:textFill>
        </w:rPr>
        <w:t>二〇二一年五月</w:t>
      </w:r>
    </w:p>
    <w:p>
      <w:pPr>
        <w:spacing w:line="360" w:lineRule="auto"/>
        <w:jc w:val="center"/>
        <w:rPr>
          <w:b/>
          <w:sz w:val="36"/>
          <w:szCs w:val="36"/>
        </w:rPr>
        <w:sectPr>
          <w:headerReference r:id="rId3" w:type="default"/>
          <w:pgSz w:w="11906" w:h="16838"/>
          <w:pgMar w:top="1417" w:right="1417" w:bottom="1417" w:left="1417" w:header="227" w:footer="1077" w:gutter="0"/>
          <w:pgNumType w:chapStyle="1"/>
          <w:cols w:space="0" w:num="1"/>
          <w:docGrid w:type="lines" w:linePitch="394" w:charSpace="0"/>
        </w:sectPr>
      </w:pPr>
    </w:p>
    <w:tbl>
      <w:tblPr>
        <w:tblStyle w:val="29"/>
        <w:tblW w:w="896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10"/>
        <w:gridCol w:w="2130"/>
        <w:gridCol w:w="45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4" w:hRule="atLeast"/>
          <w:jc w:val="center"/>
        </w:trPr>
        <w:tc>
          <w:tcPr>
            <w:tcW w:w="2310" w:type="dxa"/>
            <w:vAlign w:val="center"/>
          </w:tcPr>
          <w:p>
            <w:pPr>
              <w:jc w:val="center"/>
            </w:pPr>
            <w:bookmarkStart w:id="0" w:name="_Toc32284"/>
            <w:bookmarkStart w:id="1" w:name="_Toc72914798"/>
            <w:r>
              <w:rPr>
                <w:b/>
                <w:bCs/>
                <w:sz w:val="30"/>
                <w:szCs w:val="30"/>
              </w:rPr>
              <w:t>项目名称</w:t>
            </w:r>
            <w:bookmarkEnd w:id="0"/>
          </w:p>
        </w:tc>
        <w:tc>
          <w:tcPr>
            <w:tcW w:w="6657" w:type="dxa"/>
            <w:gridSpan w:val="2"/>
            <w:vAlign w:val="center"/>
          </w:tcPr>
          <w:p>
            <w:pPr>
              <w:jc w:val="center"/>
              <w:rPr>
                <w:sz w:val="30"/>
                <w:szCs w:val="30"/>
              </w:rPr>
            </w:pPr>
            <w:r>
              <w:rPr>
                <w:rFonts w:hint="eastAsia"/>
                <w:sz w:val="30"/>
                <w:szCs w:val="30"/>
              </w:rPr>
              <w:t>大运河宿州段生态环境保护修复实施方案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34" w:hRule="atLeast"/>
          <w:jc w:val="center"/>
        </w:trPr>
        <w:tc>
          <w:tcPr>
            <w:tcW w:w="2310" w:type="dxa"/>
            <w:vAlign w:val="center"/>
          </w:tcPr>
          <w:p>
            <w:pPr>
              <w:jc w:val="center"/>
              <w:rPr>
                <w:b/>
                <w:bCs/>
                <w:sz w:val="30"/>
                <w:szCs w:val="30"/>
              </w:rPr>
            </w:pPr>
            <w:r>
              <w:rPr>
                <w:b/>
                <w:bCs/>
                <w:sz w:val="30"/>
                <w:szCs w:val="30"/>
              </w:rPr>
              <w:t>主编单位</w:t>
            </w:r>
          </w:p>
        </w:tc>
        <w:tc>
          <w:tcPr>
            <w:tcW w:w="6657" w:type="dxa"/>
            <w:gridSpan w:val="2"/>
            <w:vAlign w:val="center"/>
          </w:tcPr>
          <w:p>
            <w:pPr>
              <w:jc w:val="center"/>
              <w:rPr>
                <w:sz w:val="30"/>
                <w:szCs w:val="30"/>
              </w:rPr>
            </w:pPr>
            <w:r>
              <w:rPr>
                <w:rFonts w:hint="eastAsia"/>
                <w:sz w:val="30"/>
                <w:szCs w:val="30"/>
              </w:rPr>
              <w:t>宿州</w:t>
            </w:r>
            <w:r>
              <w:rPr>
                <w:sz w:val="30"/>
                <w:szCs w:val="30"/>
              </w:rPr>
              <w:t>市生态环境局、</w:t>
            </w:r>
            <w:r>
              <w:rPr>
                <w:rFonts w:hint="eastAsia"/>
                <w:sz w:val="30"/>
                <w:szCs w:val="30"/>
              </w:rPr>
              <w:t>安徽省宿州市生态环境监测中心、</w:t>
            </w:r>
            <w:r>
              <w:rPr>
                <w:sz w:val="30"/>
                <w:szCs w:val="30"/>
              </w:rPr>
              <w:t>安徽建筑大学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jc w:val="center"/>
        </w:trPr>
        <w:tc>
          <w:tcPr>
            <w:tcW w:w="2310" w:type="dxa"/>
            <w:vMerge w:val="restart"/>
            <w:vAlign w:val="center"/>
          </w:tcPr>
          <w:p>
            <w:pPr>
              <w:jc w:val="center"/>
              <w:rPr>
                <w:b/>
                <w:bCs/>
                <w:sz w:val="30"/>
                <w:szCs w:val="30"/>
              </w:rPr>
            </w:pPr>
            <w:r>
              <w:rPr>
                <w:b/>
                <w:bCs/>
                <w:sz w:val="30"/>
                <w:szCs w:val="30"/>
              </w:rPr>
              <w:t>编制人员</w:t>
            </w:r>
          </w:p>
        </w:tc>
        <w:tc>
          <w:tcPr>
            <w:tcW w:w="2130" w:type="dxa"/>
            <w:vAlign w:val="center"/>
          </w:tcPr>
          <w:p>
            <w:pPr>
              <w:jc w:val="center"/>
              <w:rPr>
                <w:sz w:val="30"/>
                <w:szCs w:val="30"/>
              </w:rPr>
            </w:pPr>
            <w:r>
              <w:rPr>
                <w:sz w:val="30"/>
                <w:szCs w:val="30"/>
              </w:rPr>
              <w:t>姓名</w:t>
            </w:r>
          </w:p>
        </w:tc>
        <w:tc>
          <w:tcPr>
            <w:tcW w:w="4527" w:type="dxa"/>
            <w:vAlign w:val="center"/>
          </w:tcPr>
          <w:p>
            <w:pPr>
              <w:jc w:val="center"/>
              <w:rPr>
                <w:sz w:val="30"/>
                <w:szCs w:val="30"/>
              </w:rPr>
            </w:pPr>
            <w:r>
              <w:rPr>
                <w:rFonts w:hint="eastAsia"/>
                <w:sz w:val="30"/>
                <w:szCs w:val="30"/>
              </w:rPr>
              <w:t>职务/</w:t>
            </w:r>
            <w:r>
              <w:rPr>
                <w:sz w:val="30"/>
                <w:szCs w:val="30"/>
              </w:rPr>
              <w:t>职称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jc w:val="center"/>
        </w:trPr>
        <w:tc>
          <w:tcPr>
            <w:tcW w:w="2310" w:type="dxa"/>
            <w:vMerge w:val="continue"/>
            <w:vAlign w:val="center"/>
          </w:tcPr>
          <w:p>
            <w:pPr>
              <w:jc w:val="center"/>
              <w:rPr>
                <w:b/>
                <w:bCs/>
                <w:sz w:val="30"/>
                <w:szCs w:val="30"/>
              </w:rPr>
            </w:pPr>
          </w:p>
        </w:tc>
        <w:tc>
          <w:tcPr>
            <w:tcW w:w="2130" w:type="dxa"/>
            <w:vAlign w:val="center"/>
          </w:tcPr>
          <w:p>
            <w:pPr>
              <w:jc w:val="center"/>
              <w:rPr>
                <w:sz w:val="30"/>
                <w:szCs w:val="30"/>
              </w:rPr>
            </w:pPr>
            <w:r>
              <w:rPr>
                <w:rFonts w:hint="eastAsia"/>
                <w:sz w:val="30"/>
                <w:szCs w:val="30"/>
              </w:rPr>
              <w:t>刘  浩</w:t>
            </w:r>
          </w:p>
        </w:tc>
        <w:tc>
          <w:tcPr>
            <w:tcW w:w="4527" w:type="dxa"/>
            <w:vAlign w:val="center"/>
          </w:tcPr>
          <w:p>
            <w:pPr>
              <w:jc w:val="center"/>
              <w:rPr>
                <w:sz w:val="30"/>
                <w:szCs w:val="30"/>
              </w:rPr>
            </w:pPr>
            <w:r>
              <w:rPr>
                <w:rFonts w:hint="eastAsia"/>
                <w:sz w:val="30"/>
                <w:szCs w:val="30"/>
              </w:rPr>
              <w:t>科长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jc w:val="center"/>
        </w:trPr>
        <w:tc>
          <w:tcPr>
            <w:tcW w:w="2310" w:type="dxa"/>
            <w:vMerge w:val="continue"/>
            <w:vAlign w:val="center"/>
          </w:tcPr>
          <w:p>
            <w:pPr>
              <w:jc w:val="center"/>
              <w:rPr>
                <w:b/>
                <w:bCs/>
                <w:sz w:val="30"/>
                <w:szCs w:val="30"/>
              </w:rPr>
            </w:pPr>
          </w:p>
        </w:tc>
        <w:tc>
          <w:tcPr>
            <w:tcW w:w="2130" w:type="dxa"/>
            <w:vAlign w:val="center"/>
          </w:tcPr>
          <w:p>
            <w:pPr>
              <w:jc w:val="center"/>
              <w:rPr>
                <w:sz w:val="30"/>
                <w:szCs w:val="30"/>
              </w:rPr>
            </w:pPr>
            <w:r>
              <w:rPr>
                <w:rFonts w:hint="eastAsia"/>
                <w:sz w:val="30"/>
                <w:szCs w:val="30"/>
              </w:rPr>
              <w:t>董留超</w:t>
            </w:r>
          </w:p>
        </w:tc>
        <w:tc>
          <w:tcPr>
            <w:tcW w:w="4527" w:type="dxa"/>
            <w:vAlign w:val="center"/>
          </w:tcPr>
          <w:p>
            <w:pPr>
              <w:jc w:val="center"/>
              <w:rPr>
                <w:sz w:val="30"/>
                <w:szCs w:val="30"/>
              </w:rPr>
            </w:pPr>
            <w:r>
              <w:rPr>
                <w:rFonts w:hint="eastAsia"/>
                <w:sz w:val="30"/>
                <w:szCs w:val="30"/>
              </w:rPr>
              <w:t>主任工程师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jc w:val="center"/>
        </w:trPr>
        <w:tc>
          <w:tcPr>
            <w:tcW w:w="2310" w:type="dxa"/>
            <w:vMerge w:val="continue"/>
            <w:vAlign w:val="center"/>
          </w:tcPr>
          <w:p>
            <w:pPr>
              <w:jc w:val="center"/>
              <w:rPr>
                <w:b/>
                <w:bCs/>
                <w:sz w:val="30"/>
                <w:szCs w:val="30"/>
              </w:rPr>
            </w:pPr>
          </w:p>
        </w:tc>
        <w:tc>
          <w:tcPr>
            <w:tcW w:w="2130" w:type="dxa"/>
            <w:vAlign w:val="center"/>
          </w:tcPr>
          <w:p>
            <w:pPr>
              <w:jc w:val="center"/>
              <w:rPr>
                <w:sz w:val="30"/>
                <w:szCs w:val="30"/>
              </w:rPr>
            </w:pPr>
            <w:r>
              <w:rPr>
                <w:rFonts w:hint="eastAsia"/>
                <w:sz w:val="30"/>
                <w:szCs w:val="30"/>
              </w:rPr>
              <w:t>王肖肖</w:t>
            </w:r>
          </w:p>
        </w:tc>
        <w:tc>
          <w:tcPr>
            <w:tcW w:w="4527" w:type="dxa"/>
            <w:vAlign w:val="center"/>
          </w:tcPr>
          <w:p>
            <w:pPr>
              <w:jc w:val="center"/>
              <w:rPr>
                <w:sz w:val="30"/>
                <w:szCs w:val="30"/>
              </w:rPr>
            </w:pPr>
            <w:r>
              <w:rPr>
                <w:rFonts w:hint="eastAsia"/>
                <w:sz w:val="30"/>
                <w:szCs w:val="30"/>
              </w:rPr>
              <w:t>助理工程师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jc w:val="center"/>
        </w:trPr>
        <w:tc>
          <w:tcPr>
            <w:tcW w:w="2310" w:type="dxa"/>
            <w:vMerge w:val="continue"/>
            <w:vAlign w:val="center"/>
          </w:tcPr>
          <w:p>
            <w:pPr>
              <w:jc w:val="center"/>
              <w:rPr>
                <w:b/>
                <w:bCs/>
                <w:sz w:val="30"/>
                <w:szCs w:val="30"/>
              </w:rPr>
            </w:pPr>
          </w:p>
        </w:tc>
        <w:tc>
          <w:tcPr>
            <w:tcW w:w="2130" w:type="dxa"/>
            <w:vAlign w:val="center"/>
          </w:tcPr>
          <w:p>
            <w:pPr>
              <w:jc w:val="center"/>
              <w:rPr>
                <w:sz w:val="30"/>
                <w:szCs w:val="30"/>
              </w:rPr>
            </w:pPr>
            <w:r>
              <w:rPr>
                <w:sz w:val="30"/>
                <w:szCs w:val="30"/>
              </w:rPr>
              <w:t>奚姗姗</w:t>
            </w:r>
          </w:p>
        </w:tc>
        <w:tc>
          <w:tcPr>
            <w:tcW w:w="4527" w:type="dxa"/>
            <w:vAlign w:val="center"/>
          </w:tcPr>
          <w:p>
            <w:pPr>
              <w:jc w:val="center"/>
              <w:rPr>
                <w:sz w:val="30"/>
                <w:szCs w:val="30"/>
              </w:rPr>
            </w:pPr>
            <w:r>
              <w:rPr>
                <w:sz w:val="30"/>
                <w:szCs w:val="30"/>
              </w:rPr>
              <w:t>高工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jc w:val="center"/>
        </w:trPr>
        <w:tc>
          <w:tcPr>
            <w:tcW w:w="2310" w:type="dxa"/>
            <w:vMerge w:val="continue"/>
            <w:vAlign w:val="center"/>
          </w:tcPr>
          <w:p>
            <w:pPr>
              <w:jc w:val="center"/>
              <w:rPr>
                <w:b/>
                <w:bCs/>
                <w:sz w:val="30"/>
                <w:szCs w:val="30"/>
              </w:rPr>
            </w:pPr>
          </w:p>
        </w:tc>
        <w:tc>
          <w:tcPr>
            <w:tcW w:w="2130" w:type="dxa"/>
            <w:vAlign w:val="center"/>
          </w:tcPr>
          <w:p>
            <w:pPr>
              <w:jc w:val="center"/>
              <w:rPr>
                <w:sz w:val="30"/>
                <w:szCs w:val="30"/>
              </w:rPr>
            </w:pPr>
            <w:r>
              <w:rPr>
                <w:sz w:val="30"/>
                <w:szCs w:val="30"/>
              </w:rPr>
              <w:t>黄  健</w:t>
            </w:r>
          </w:p>
        </w:tc>
        <w:tc>
          <w:tcPr>
            <w:tcW w:w="4527" w:type="dxa"/>
            <w:vAlign w:val="center"/>
          </w:tcPr>
          <w:p>
            <w:pPr>
              <w:jc w:val="center"/>
              <w:rPr>
                <w:sz w:val="30"/>
                <w:szCs w:val="30"/>
              </w:rPr>
            </w:pPr>
            <w:r>
              <w:rPr>
                <w:sz w:val="30"/>
                <w:szCs w:val="30"/>
              </w:rPr>
              <w:t>教授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jc w:val="center"/>
        </w:trPr>
        <w:tc>
          <w:tcPr>
            <w:tcW w:w="2310" w:type="dxa"/>
            <w:vMerge w:val="continue"/>
            <w:vAlign w:val="center"/>
          </w:tcPr>
          <w:p>
            <w:pPr>
              <w:jc w:val="center"/>
              <w:rPr>
                <w:b/>
                <w:bCs/>
                <w:sz w:val="30"/>
                <w:szCs w:val="30"/>
              </w:rPr>
            </w:pPr>
          </w:p>
        </w:tc>
        <w:tc>
          <w:tcPr>
            <w:tcW w:w="2130" w:type="dxa"/>
            <w:vAlign w:val="center"/>
          </w:tcPr>
          <w:p>
            <w:pPr>
              <w:jc w:val="center"/>
              <w:rPr>
                <w:sz w:val="30"/>
                <w:szCs w:val="30"/>
              </w:rPr>
            </w:pPr>
            <w:r>
              <w:rPr>
                <w:sz w:val="30"/>
                <w:szCs w:val="30"/>
              </w:rPr>
              <w:t>张  华</w:t>
            </w:r>
          </w:p>
        </w:tc>
        <w:tc>
          <w:tcPr>
            <w:tcW w:w="4527" w:type="dxa"/>
            <w:vAlign w:val="center"/>
          </w:tcPr>
          <w:p>
            <w:pPr>
              <w:jc w:val="center"/>
              <w:rPr>
                <w:sz w:val="30"/>
                <w:szCs w:val="30"/>
              </w:rPr>
            </w:pPr>
            <w:r>
              <w:rPr>
                <w:sz w:val="30"/>
                <w:szCs w:val="30"/>
              </w:rPr>
              <w:t>教授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jc w:val="center"/>
        </w:trPr>
        <w:tc>
          <w:tcPr>
            <w:tcW w:w="2310" w:type="dxa"/>
            <w:vMerge w:val="continue"/>
            <w:vAlign w:val="center"/>
          </w:tcPr>
          <w:p>
            <w:pPr>
              <w:jc w:val="center"/>
              <w:rPr>
                <w:b/>
                <w:bCs/>
                <w:sz w:val="30"/>
                <w:szCs w:val="30"/>
              </w:rPr>
            </w:pPr>
          </w:p>
        </w:tc>
        <w:tc>
          <w:tcPr>
            <w:tcW w:w="2130" w:type="dxa"/>
            <w:vAlign w:val="center"/>
          </w:tcPr>
          <w:p>
            <w:pPr>
              <w:jc w:val="center"/>
              <w:rPr>
                <w:sz w:val="30"/>
                <w:szCs w:val="30"/>
              </w:rPr>
            </w:pPr>
            <w:r>
              <w:rPr>
                <w:sz w:val="30"/>
                <w:szCs w:val="30"/>
              </w:rPr>
              <w:t>李卫华</w:t>
            </w:r>
          </w:p>
        </w:tc>
        <w:tc>
          <w:tcPr>
            <w:tcW w:w="4527" w:type="dxa"/>
            <w:vAlign w:val="center"/>
          </w:tcPr>
          <w:p>
            <w:pPr>
              <w:jc w:val="center"/>
              <w:rPr>
                <w:sz w:val="30"/>
                <w:szCs w:val="30"/>
              </w:rPr>
            </w:pPr>
            <w:r>
              <w:rPr>
                <w:sz w:val="30"/>
                <w:szCs w:val="30"/>
              </w:rPr>
              <w:t>教授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jc w:val="center"/>
        </w:trPr>
        <w:tc>
          <w:tcPr>
            <w:tcW w:w="2310" w:type="dxa"/>
            <w:vMerge w:val="continue"/>
            <w:vAlign w:val="center"/>
          </w:tcPr>
          <w:p>
            <w:pPr>
              <w:jc w:val="center"/>
              <w:rPr>
                <w:b/>
                <w:bCs/>
                <w:sz w:val="30"/>
                <w:szCs w:val="30"/>
              </w:rPr>
            </w:pPr>
          </w:p>
        </w:tc>
        <w:tc>
          <w:tcPr>
            <w:tcW w:w="2130" w:type="dxa"/>
            <w:vAlign w:val="center"/>
          </w:tcPr>
          <w:p>
            <w:pPr>
              <w:jc w:val="center"/>
              <w:rPr>
                <w:sz w:val="30"/>
                <w:szCs w:val="30"/>
              </w:rPr>
            </w:pPr>
            <w:r>
              <w:rPr>
                <w:sz w:val="30"/>
                <w:szCs w:val="30"/>
              </w:rPr>
              <w:t>张  勇</w:t>
            </w:r>
          </w:p>
        </w:tc>
        <w:tc>
          <w:tcPr>
            <w:tcW w:w="4527" w:type="dxa"/>
            <w:vAlign w:val="center"/>
          </w:tcPr>
          <w:p>
            <w:pPr>
              <w:jc w:val="center"/>
              <w:rPr>
                <w:sz w:val="30"/>
                <w:szCs w:val="30"/>
              </w:rPr>
            </w:pPr>
            <w:r>
              <w:rPr>
                <w:sz w:val="30"/>
                <w:szCs w:val="30"/>
              </w:rPr>
              <w:t>副教授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jc w:val="center"/>
        </w:trPr>
        <w:tc>
          <w:tcPr>
            <w:tcW w:w="2310" w:type="dxa"/>
            <w:vMerge w:val="continue"/>
            <w:vAlign w:val="center"/>
          </w:tcPr>
          <w:p>
            <w:pPr>
              <w:jc w:val="center"/>
              <w:rPr>
                <w:b/>
                <w:bCs/>
                <w:sz w:val="30"/>
                <w:szCs w:val="30"/>
              </w:rPr>
            </w:pPr>
          </w:p>
        </w:tc>
        <w:tc>
          <w:tcPr>
            <w:tcW w:w="2130" w:type="dxa"/>
            <w:vAlign w:val="center"/>
          </w:tcPr>
          <w:p>
            <w:pPr>
              <w:jc w:val="center"/>
              <w:rPr>
                <w:sz w:val="30"/>
                <w:szCs w:val="30"/>
              </w:rPr>
            </w:pPr>
            <w:r>
              <w:rPr>
                <w:sz w:val="30"/>
                <w:szCs w:val="30"/>
              </w:rPr>
              <w:t>王金花</w:t>
            </w:r>
          </w:p>
        </w:tc>
        <w:tc>
          <w:tcPr>
            <w:tcW w:w="4527" w:type="dxa"/>
            <w:vAlign w:val="center"/>
          </w:tcPr>
          <w:p>
            <w:pPr>
              <w:jc w:val="center"/>
              <w:rPr>
                <w:sz w:val="30"/>
                <w:szCs w:val="30"/>
              </w:rPr>
            </w:pPr>
            <w:r>
              <w:rPr>
                <w:sz w:val="30"/>
                <w:szCs w:val="30"/>
              </w:rPr>
              <w:t>讲师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jc w:val="center"/>
        </w:trPr>
        <w:tc>
          <w:tcPr>
            <w:tcW w:w="2310" w:type="dxa"/>
            <w:vMerge w:val="continue"/>
            <w:vAlign w:val="center"/>
          </w:tcPr>
          <w:p>
            <w:pPr>
              <w:jc w:val="center"/>
              <w:rPr>
                <w:b/>
                <w:bCs/>
                <w:sz w:val="30"/>
                <w:szCs w:val="30"/>
              </w:rPr>
            </w:pPr>
          </w:p>
        </w:tc>
        <w:tc>
          <w:tcPr>
            <w:tcW w:w="2130" w:type="dxa"/>
            <w:vAlign w:val="center"/>
          </w:tcPr>
          <w:p>
            <w:pPr>
              <w:jc w:val="center"/>
              <w:rPr>
                <w:sz w:val="30"/>
                <w:szCs w:val="30"/>
              </w:rPr>
            </w:pPr>
            <w:r>
              <w:rPr>
                <w:sz w:val="30"/>
                <w:szCs w:val="30"/>
              </w:rPr>
              <w:t>胡  昊</w:t>
            </w:r>
          </w:p>
        </w:tc>
        <w:tc>
          <w:tcPr>
            <w:tcW w:w="4527" w:type="dxa"/>
            <w:vAlign w:val="center"/>
          </w:tcPr>
          <w:p>
            <w:pPr>
              <w:jc w:val="center"/>
              <w:rPr>
                <w:sz w:val="30"/>
                <w:szCs w:val="30"/>
              </w:rPr>
            </w:pPr>
            <w:r>
              <w:rPr>
                <w:sz w:val="30"/>
                <w:szCs w:val="30"/>
              </w:rPr>
              <w:t>讲师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jc w:val="center"/>
        </w:trPr>
        <w:tc>
          <w:tcPr>
            <w:tcW w:w="2310" w:type="dxa"/>
            <w:vMerge w:val="continue"/>
            <w:vAlign w:val="center"/>
          </w:tcPr>
          <w:p>
            <w:pPr>
              <w:jc w:val="center"/>
              <w:rPr>
                <w:b/>
                <w:bCs/>
                <w:sz w:val="30"/>
                <w:szCs w:val="30"/>
              </w:rPr>
            </w:pPr>
          </w:p>
        </w:tc>
        <w:tc>
          <w:tcPr>
            <w:tcW w:w="2130" w:type="dxa"/>
            <w:vAlign w:val="center"/>
          </w:tcPr>
          <w:p>
            <w:pPr>
              <w:jc w:val="center"/>
              <w:rPr>
                <w:sz w:val="30"/>
                <w:szCs w:val="30"/>
              </w:rPr>
            </w:pPr>
            <w:r>
              <w:rPr>
                <w:sz w:val="30"/>
                <w:szCs w:val="30"/>
              </w:rPr>
              <w:t>韦  伟</w:t>
            </w:r>
          </w:p>
        </w:tc>
        <w:tc>
          <w:tcPr>
            <w:tcW w:w="4527" w:type="dxa"/>
            <w:vAlign w:val="center"/>
          </w:tcPr>
          <w:p>
            <w:pPr>
              <w:jc w:val="center"/>
              <w:rPr>
                <w:sz w:val="30"/>
                <w:szCs w:val="30"/>
              </w:rPr>
            </w:pPr>
            <w:r>
              <w:rPr>
                <w:sz w:val="30"/>
                <w:szCs w:val="30"/>
              </w:rPr>
              <w:t>讲师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4" w:hRule="atLeast"/>
          <w:jc w:val="center"/>
        </w:trPr>
        <w:tc>
          <w:tcPr>
            <w:tcW w:w="2310" w:type="dxa"/>
            <w:vMerge w:val="continue"/>
            <w:vAlign w:val="center"/>
          </w:tcPr>
          <w:p>
            <w:pPr>
              <w:jc w:val="center"/>
              <w:rPr>
                <w:b/>
                <w:bCs/>
                <w:sz w:val="30"/>
                <w:szCs w:val="30"/>
              </w:rPr>
            </w:pPr>
          </w:p>
        </w:tc>
        <w:tc>
          <w:tcPr>
            <w:tcW w:w="2130" w:type="dxa"/>
            <w:vAlign w:val="center"/>
          </w:tcPr>
          <w:p>
            <w:pPr>
              <w:jc w:val="center"/>
              <w:rPr>
                <w:sz w:val="30"/>
                <w:szCs w:val="30"/>
              </w:rPr>
            </w:pPr>
            <w:r>
              <w:rPr>
                <w:sz w:val="30"/>
                <w:szCs w:val="30"/>
              </w:rPr>
              <w:t>杨厚云</w:t>
            </w:r>
          </w:p>
        </w:tc>
        <w:tc>
          <w:tcPr>
            <w:tcW w:w="4527" w:type="dxa"/>
            <w:vAlign w:val="center"/>
          </w:tcPr>
          <w:p>
            <w:pPr>
              <w:jc w:val="center"/>
              <w:rPr>
                <w:sz w:val="30"/>
                <w:szCs w:val="30"/>
              </w:rPr>
            </w:pPr>
            <w:r>
              <w:rPr>
                <w:sz w:val="30"/>
                <w:szCs w:val="30"/>
              </w:rPr>
              <w:t>讲师</w:t>
            </w:r>
          </w:p>
        </w:tc>
      </w:tr>
    </w:tbl>
    <w:p>
      <w:pPr>
        <w:spacing w:before="118" w:beforeLines="30" w:after="118" w:afterLines="30"/>
        <w:jc w:val="center"/>
        <w:rPr>
          <w:rFonts w:ascii="宋体" w:hAnsi="宋体"/>
          <w:b/>
          <w:sz w:val="32"/>
          <w:szCs w:val="32"/>
        </w:rPr>
        <w:sectPr>
          <w:headerReference r:id="rId4" w:type="default"/>
          <w:footerReference r:id="rId5" w:type="default"/>
          <w:pgSz w:w="11906" w:h="16838"/>
          <w:pgMar w:top="1417" w:right="1417" w:bottom="1417" w:left="1417" w:header="227" w:footer="1077" w:gutter="0"/>
          <w:pgNumType w:start="1" w:chapStyle="1"/>
          <w:cols w:space="0" w:num="1"/>
          <w:docGrid w:type="lines" w:linePitch="394" w:charSpace="0"/>
        </w:sectPr>
      </w:pPr>
    </w:p>
    <w:p>
      <w:pPr>
        <w:spacing w:before="118" w:beforeLines="30" w:after="118" w:afterLines="30"/>
        <w:jc w:val="center"/>
        <w:rPr>
          <w:rFonts w:ascii="宋体" w:hAnsi="宋体"/>
          <w:b/>
          <w:sz w:val="32"/>
          <w:szCs w:val="32"/>
        </w:rPr>
      </w:pPr>
      <w:r>
        <w:rPr>
          <w:rFonts w:hint="eastAsia" w:ascii="宋体" w:hAnsi="宋体"/>
          <w:b/>
          <w:sz w:val="32"/>
          <w:szCs w:val="32"/>
        </w:rPr>
        <w:t>前  言</w:t>
      </w:r>
      <w:bookmarkEnd w:id="1"/>
    </w:p>
    <w:p>
      <w:pPr>
        <w:spacing w:line="360" w:lineRule="auto"/>
        <w:ind w:firstLine="560" w:firstLineChars="200"/>
        <w:rPr>
          <w:rFonts w:eastAsiaTheme="minorEastAsia"/>
          <w:color w:val="000000" w:themeColor="text1"/>
          <w:sz w:val="28"/>
          <w:szCs w:val="28"/>
          <w:lang w:val="en"/>
          <w14:textFill>
            <w14:solidFill>
              <w14:schemeClr w14:val="tx1"/>
            </w14:solidFill>
          </w14:textFill>
        </w:rPr>
      </w:pPr>
      <w:r>
        <w:rPr>
          <w:rFonts w:hint="eastAsia" w:eastAsiaTheme="minorEastAsia"/>
          <w:color w:val="000000" w:themeColor="text1"/>
          <w:sz w:val="28"/>
          <w:szCs w:val="28"/>
          <w:lang w:val="en"/>
          <w14:textFill>
            <w14:solidFill>
              <w14:schemeClr w14:val="tx1"/>
            </w14:solidFill>
          </w14:textFill>
        </w:rPr>
        <w:t>为</w:t>
      </w:r>
      <w:r>
        <w:rPr>
          <w:rFonts w:eastAsiaTheme="minorEastAsia"/>
          <w:color w:val="000000" w:themeColor="text1"/>
          <w:sz w:val="28"/>
          <w:szCs w:val="28"/>
          <w:lang w:val="en"/>
          <w14:textFill>
            <w14:solidFill>
              <w14:schemeClr w14:val="tx1"/>
            </w14:solidFill>
          </w14:textFill>
        </w:rPr>
        <w:t>深入贯彻落实习近平总书记重要指示批示精神，充分挖掘大运河丰富的历史文化资源，保护好、传承好、利用好大运河这一祖先留给我们的宝贵遗产，打造大运河文化带，是新时代党中央、国务院作出的一项重大决策部署。2019年5月，中共中央办公厅</w:t>
      </w:r>
      <w:r>
        <w:rPr>
          <w:rFonts w:hint="eastAsia" w:eastAsiaTheme="minorEastAsia"/>
          <w:color w:val="000000" w:themeColor="text1"/>
          <w:sz w:val="28"/>
          <w:szCs w:val="28"/>
          <w:lang w:val="en"/>
          <w14:textFill>
            <w14:solidFill>
              <w14:schemeClr w14:val="tx1"/>
            </w14:solidFill>
          </w14:textFill>
        </w:rPr>
        <w:t>、</w:t>
      </w:r>
      <w:r>
        <w:rPr>
          <w:rFonts w:eastAsiaTheme="minorEastAsia"/>
          <w:color w:val="000000" w:themeColor="text1"/>
          <w:sz w:val="28"/>
          <w:szCs w:val="28"/>
          <w:lang w:val="en"/>
          <w14:textFill>
            <w14:solidFill>
              <w14:schemeClr w14:val="tx1"/>
            </w14:solidFill>
          </w14:textFill>
        </w:rPr>
        <w:t>国务院办公厅印发《大运河文化保护传承利用规划纲要》，2020年6月，生态环境部审议并原则通过《大运河生态环境保护修复专项规划》。为全面推进落实《安徽省大运河文化保护传承利用实施规划》，2020年7月7日宿州市人民政府办公室印发《宿州市大运河文化保护传承利用三年行动方案（2020－2022年）》。</w:t>
      </w:r>
    </w:p>
    <w:p>
      <w:pPr>
        <w:widowControl/>
        <w:spacing w:line="360" w:lineRule="auto"/>
        <w:ind w:firstLine="560" w:firstLineChars="200"/>
        <w:jc w:val="left"/>
        <w:rPr>
          <w:rFonts w:eastAsiaTheme="minorEastAsia"/>
          <w:color w:val="000000" w:themeColor="text1"/>
          <w:sz w:val="28"/>
          <w:szCs w:val="28"/>
          <w:lang w:val="en"/>
          <w14:textFill>
            <w14:solidFill>
              <w14:schemeClr w14:val="tx1"/>
            </w14:solidFill>
          </w14:textFill>
        </w:rPr>
      </w:pPr>
      <w:r>
        <w:rPr>
          <w:rFonts w:eastAsiaTheme="minorEastAsia"/>
          <w:color w:val="000000" w:themeColor="text1"/>
          <w:sz w:val="28"/>
          <w:szCs w:val="28"/>
          <w:lang w:val="en"/>
          <w14:textFill>
            <w14:solidFill>
              <w14:schemeClr w14:val="tx1"/>
            </w14:solidFill>
          </w14:textFill>
        </w:rPr>
        <w:t>《宿州市大运河文化保护传承利用三年行动方案（2020－2022年）》中第11条明确提出：由宿州市生态环境局作为项目责任单位编制《大运河宿州段生态环境保护修复实施方案》。做好本底资源情况调查，统筹制定保护管理目标，着力改善生态系统服务功能，提高生态产品供给能力。研究建立生态资源环境承载能力监测评价体系，丰富完善监测指标体系和技术体系，开展生态资源环境承载能力监测预警。建立联防联控机制，加强各个区域的交流与合作，提高各县区协同作战能力，实现信息互通，积极预防和科学应对突发环境事件。</w:t>
      </w:r>
    </w:p>
    <w:p>
      <w:pPr>
        <w:widowControl/>
        <w:spacing w:line="360" w:lineRule="auto"/>
        <w:ind w:firstLine="560" w:firstLineChars="200"/>
        <w:jc w:val="left"/>
        <w:rPr>
          <w:rFonts w:eastAsiaTheme="minorEastAsia"/>
          <w:color w:val="000000" w:themeColor="text1"/>
          <w:sz w:val="28"/>
          <w:szCs w:val="28"/>
          <w14:textFill>
            <w14:solidFill>
              <w14:schemeClr w14:val="tx1"/>
            </w14:solidFill>
          </w14:textFill>
        </w:rPr>
        <w:sectPr>
          <w:footerReference r:id="rId6" w:type="default"/>
          <w:pgSz w:w="11906" w:h="16838"/>
          <w:pgMar w:top="1417" w:right="1417" w:bottom="1417" w:left="1417" w:header="227" w:footer="1077" w:gutter="0"/>
          <w:pgNumType w:fmt="upperRoman" w:start="1" w:chapStyle="1"/>
          <w:cols w:space="0" w:num="1"/>
          <w:docGrid w:type="lines" w:linePitch="394" w:charSpace="0"/>
        </w:sectPr>
      </w:pPr>
      <w:r>
        <w:rPr>
          <w:rFonts w:hint="eastAsia" w:eastAsiaTheme="minorEastAsia"/>
          <w:color w:val="000000" w:themeColor="text1"/>
          <w:sz w:val="28"/>
          <w:szCs w:val="28"/>
          <w14:textFill>
            <w14:solidFill>
              <w14:schemeClr w14:val="tx1"/>
            </w14:solidFill>
          </w14:textFill>
        </w:rPr>
        <w:t>2020年9月，安徽建筑大学受宿州市生态环境局委托，开展</w:t>
      </w:r>
      <w:r>
        <w:rPr>
          <w:rFonts w:eastAsiaTheme="minorEastAsia"/>
          <w:color w:val="000000" w:themeColor="text1"/>
          <w:sz w:val="28"/>
          <w:szCs w:val="28"/>
          <w:lang w:val="en"/>
          <w14:textFill>
            <w14:solidFill>
              <w14:schemeClr w14:val="tx1"/>
            </w14:solidFill>
          </w14:textFill>
        </w:rPr>
        <w:t>《大运河宿州段生态环境保护修复实施方案》</w:t>
      </w:r>
      <w:r>
        <w:rPr>
          <w:rFonts w:hint="eastAsia" w:eastAsiaTheme="minorEastAsia"/>
          <w:color w:val="000000" w:themeColor="text1"/>
          <w:sz w:val="28"/>
          <w:szCs w:val="28"/>
          <w14:textFill>
            <w14:solidFill>
              <w14:schemeClr w14:val="tx1"/>
            </w14:solidFill>
          </w14:textFill>
        </w:rPr>
        <w:t>编制工作，通过现场调研、座谈会及函询等方式，安徽建筑大学顺利完成</w:t>
      </w:r>
      <w:r>
        <w:rPr>
          <w:rFonts w:eastAsiaTheme="minorEastAsia"/>
          <w:color w:val="000000" w:themeColor="text1"/>
          <w:sz w:val="28"/>
          <w:szCs w:val="28"/>
          <w:lang w:val="en"/>
          <w14:textFill>
            <w14:solidFill>
              <w14:schemeClr w14:val="tx1"/>
            </w14:solidFill>
          </w14:textFill>
        </w:rPr>
        <w:t>《大运河宿州段生态环境保护修复实施方案》</w:t>
      </w:r>
      <w:r>
        <w:rPr>
          <w:rFonts w:hint="eastAsia" w:eastAsiaTheme="minorEastAsia"/>
          <w:color w:val="000000" w:themeColor="text1"/>
          <w:sz w:val="28"/>
          <w:szCs w:val="28"/>
          <w14:textFill>
            <w14:solidFill>
              <w14:schemeClr w14:val="tx1"/>
            </w14:solidFill>
          </w14:textFill>
        </w:rPr>
        <w:t>的编制工作。</w:t>
      </w:r>
    </w:p>
    <w:p>
      <w:pPr>
        <w:widowControl/>
        <w:spacing w:before="78" w:beforeLines="20" w:after="78" w:afterLines="20" w:line="360" w:lineRule="auto"/>
        <w:jc w:val="center"/>
      </w:pPr>
      <w:r>
        <w:rPr>
          <w:rFonts w:hint="eastAsia"/>
          <w:b/>
          <w:sz w:val="36"/>
          <w:szCs w:val="36"/>
        </w:rPr>
        <w:t>目  录</w:t>
      </w:r>
      <w:r>
        <w:rPr>
          <w:b/>
          <w:sz w:val="36"/>
          <w:szCs w:val="36"/>
        </w:rPr>
        <w:fldChar w:fldCharType="begin"/>
      </w:r>
      <w:r>
        <w:rPr>
          <w:b/>
          <w:sz w:val="36"/>
          <w:szCs w:val="36"/>
        </w:rPr>
        <w:instrText xml:space="preserve"> TOC \o "1-3" \h \z \u </w:instrText>
      </w:r>
      <w:r>
        <w:rPr>
          <w:b/>
          <w:sz w:val="36"/>
          <w:szCs w:val="36"/>
        </w:rPr>
        <w:fldChar w:fldCharType="separate"/>
      </w:r>
    </w:p>
    <w:p>
      <w:pPr>
        <w:pStyle w:val="20"/>
        <w:tabs>
          <w:tab w:val="right" w:leader="dot" w:pos="9062"/>
        </w:tabs>
        <w:rPr>
          <w:rFonts w:asciiTheme="minorHAnsi" w:hAnsiTheme="minorHAnsi" w:eastAsiaTheme="minorEastAsia" w:cstheme="minorBidi"/>
          <w:b w:val="0"/>
          <w:sz w:val="21"/>
          <w:szCs w:val="22"/>
        </w:rPr>
      </w:pPr>
      <w:r>
        <w:fldChar w:fldCharType="begin"/>
      </w:r>
      <w:r>
        <w:instrText xml:space="preserve"> HYPERLINK \l "_Toc84536492" </w:instrText>
      </w:r>
      <w:r>
        <w:fldChar w:fldCharType="separate"/>
      </w:r>
      <w:r>
        <w:rPr>
          <w:rStyle w:val="33"/>
        </w:rPr>
        <w:t xml:space="preserve">1 </w:t>
      </w:r>
      <w:r>
        <w:rPr>
          <w:rStyle w:val="33"/>
          <w:rFonts w:hint="eastAsia"/>
        </w:rPr>
        <w:t>项目概况</w:t>
      </w:r>
      <w:r>
        <w:tab/>
      </w:r>
      <w:r>
        <w:fldChar w:fldCharType="begin"/>
      </w:r>
      <w:r>
        <w:instrText xml:space="preserve"> PAGEREF _Toc84536492 \h </w:instrText>
      </w:r>
      <w:r>
        <w:fldChar w:fldCharType="separate"/>
      </w:r>
      <w:r>
        <w:t>1</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"_Toc84536493" </w:instrText>
      </w:r>
      <w:r>
        <w:fldChar w:fldCharType="separate"/>
      </w:r>
      <w:r>
        <w:rPr>
          <w:rStyle w:val="33"/>
        </w:rPr>
        <w:t xml:space="preserve">1.1 </w:t>
      </w:r>
      <w:r>
        <w:rPr>
          <w:rStyle w:val="33"/>
          <w:rFonts w:hint="eastAsia" w:asciiTheme="minorEastAsia" w:hAnsiTheme="minorEastAsia"/>
        </w:rPr>
        <w:t>指导思想</w:t>
      </w:r>
      <w:r>
        <w:tab/>
      </w:r>
      <w:r>
        <w:fldChar w:fldCharType="begin"/>
      </w:r>
      <w:r>
        <w:instrText xml:space="preserve"> PAGEREF _Toc84536493 \h </w:instrText>
      </w:r>
      <w:r>
        <w:fldChar w:fldCharType="separate"/>
      </w:r>
      <w:r>
        <w:t>1</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"_Toc84536494" </w:instrText>
      </w:r>
      <w:r>
        <w:fldChar w:fldCharType="separate"/>
      </w:r>
      <w:r>
        <w:rPr>
          <w:rStyle w:val="33"/>
        </w:rPr>
        <w:t xml:space="preserve">1.2 </w:t>
      </w:r>
      <w:r>
        <w:rPr>
          <w:rStyle w:val="33"/>
          <w:rFonts w:hint="eastAsia" w:asciiTheme="minorEastAsia" w:hAnsiTheme="minorEastAsia"/>
        </w:rPr>
        <w:t>上位规划要求</w:t>
      </w:r>
      <w:r>
        <w:tab/>
      </w:r>
      <w:r>
        <w:fldChar w:fldCharType="begin"/>
      </w:r>
      <w:r>
        <w:instrText xml:space="preserve"> PAGEREF _Toc84536494 \h </w:instrText>
      </w:r>
      <w:r>
        <w:fldChar w:fldCharType="separate"/>
      </w:r>
      <w:r>
        <w:t>1</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"_Toc84536495" </w:instrText>
      </w:r>
      <w:r>
        <w:fldChar w:fldCharType="separate"/>
      </w:r>
      <w:r>
        <w:rPr>
          <w:rStyle w:val="33"/>
        </w:rPr>
        <w:t xml:space="preserve">1.3 </w:t>
      </w:r>
      <w:r>
        <w:rPr>
          <w:rStyle w:val="33"/>
          <w:rFonts w:hint="eastAsia" w:asciiTheme="minorEastAsia" w:hAnsiTheme="minorEastAsia"/>
        </w:rPr>
        <w:t>自然条件及社会经济概况</w:t>
      </w:r>
      <w:r>
        <w:tab/>
      </w:r>
      <w:r>
        <w:fldChar w:fldCharType="begin"/>
      </w:r>
      <w:r>
        <w:instrText xml:space="preserve"> PAGEREF _Toc84536495 \h </w:instrText>
      </w:r>
      <w:r>
        <w:fldChar w:fldCharType="separate"/>
      </w:r>
      <w:r>
        <w:t>10</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"_Toc84536496" </w:instrText>
      </w:r>
      <w:r>
        <w:fldChar w:fldCharType="separate"/>
      </w:r>
      <w:r>
        <w:rPr>
          <w:rStyle w:val="33"/>
        </w:rPr>
        <w:t xml:space="preserve">1.3.1 </w:t>
      </w:r>
      <w:r>
        <w:rPr>
          <w:rStyle w:val="33"/>
          <w:rFonts w:hint="eastAsia"/>
        </w:rPr>
        <w:t>自然条件概况</w:t>
      </w:r>
      <w:r>
        <w:tab/>
      </w:r>
      <w:r>
        <w:fldChar w:fldCharType="begin"/>
      </w:r>
      <w:r>
        <w:instrText xml:space="preserve"> PAGEREF _Toc84536496 \h </w:instrText>
      </w:r>
      <w:r>
        <w:fldChar w:fldCharType="separate"/>
      </w:r>
      <w:r>
        <w:t>10</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"_Toc84536497" </w:instrText>
      </w:r>
      <w:r>
        <w:fldChar w:fldCharType="separate"/>
      </w:r>
      <w:r>
        <w:rPr>
          <w:rStyle w:val="33"/>
        </w:rPr>
        <w:t xml:space="preserve">1.3.2 </w:t>
      </w:r>
      <w:r>
        <w:rPr>
          <w:rStyle w:val="33"/>
          <w:rFonts w:hint="eastAsia"/>
        </w:rPr>
        <w:t>社会经济概况</w:t>
      </w:r>
      <w:r>
        <w:tab/>
      </w:r>
      <w:r>
        <w:fldChar w:fldCharType="begin"/>
      </w:r>
      <w:r>
        <w:instrText xml:space="preserve"> PAGEREF _Toc84536497 \h </w:instrText>
      </w:r>
      <w:r>
        <w:fldChar w:fldCharType="separate"/>
      </w:r>
      <w:r>
        <w:t>17</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"_Toc84536498" </w:instrText>
      </w:r>
      <w:r>
        <w:fldChar w:fldCharType="separate"/>
      </w:r>
      <w:r>
        <w:rPr>
          <w:rStyle w:val="33"/>
        </w:rPr>
        <w:t xml:space="preserve">1.4 </w:t>
      </w:r>
      <w:r>
        <w:rPr>
          <w:rStyle w:val="33"/>
          <w:rFonts w:hint="eastAsia" w:asciiTheme="minorEastAsia" w:hAnsiTheme="minorEastAsia"/>
        </w:rPr>
        <w:t>编制依据</w:t>
      </w:r>
      <w:r>
        <w:tab/>
      </w:r>
      <w:r>
        <w:fldChar w:fldCharType="begin"/>
      </w:r>
      <w:r>
        <w:instrText xml:space="preserve"> PAGEREF _Toc84536498 \h </w:instrText>
      </w:r>
      <w:r>
        <w:fldChar w:fldCharType="separate"/>
      </w:r>
      <w:r>
        <w:t>20</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"_Toc84536499" </w:instrText>
      </w:r>
      <w:r>
        <w:fldChar w:fldCharType="separate"/>
      </w:r>
      <w:r>
        <w:rPr>
          <w:rStyle w:val="33"/>
        </w:rPr>
        <w:t xml:space="preserve">1.4.1 </w:t>
      </w:r>
      <w:r>
        <w:rPr>
          <w:rStyle w:val="33"/>
          <w:rFonts w:hint="eastAsia"/>
        </w:rPr>
        <w:t>国家有关法律法规及规范性文件</w:t>
      </w:r>
      <w:r>
        <w:tab/>
      </w:r>
      <w:r>
        <w:fldChar w:fldCharType="begin"/>
      </w:r>
      <w:r>
        <w:instrText xml:space="preserve"> PAGEREF _Toc84536499 \h </w:instrText>
      </w:r>
      <w:r>
        <w:fldChar w:fldCharType="separate"/>
      </w:r>
      <w:r>
        <w:t>20</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"_Toc84536500" </w:instrText>
      </w:r>
      <w:r>
        <w:fldChar w:fldCharType="separate"/>
      </w:r>
      <w:r>
        <w:rPr>
          <w:rStyle w:val="33"/>
        </w:rPr>
        <w:t xml:space="preserve">1.4.2 </w:t>
      </w:r>
      <w:r>
        <w:rPr>
          <w:rStyle w:val="33"/>
          <w:rFonts w:hint="eastAsia"/>
        </w:rPr>
        <w:t>地方有关法律法规及规范性文件</w:t>
      </w:r>
      <w:r>
        <w:tab/>
      </w:r>
      <w:r>
        <w:fldChar w:fldCharType="begin"/>
      </w:r>
      <w:r>
        <w:instrText xml:space="preserve"> PAGEREF _Toc84536500 \h </w:instrText>
      </w:r>
      <w:r>
        <w:fldChar w:fldCharType="separate"/>
      </w:r>
      <w:r>
        <w:t>21</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"_Toc84536501" </w:instrText>
      </w:r>
      <w:r>
        <w:fldChar w:fldCharType="separate"/>
      </w:r>
      <w:r>
        <w:rPr>
          <w:rStyle w:val="33"/>
        </w:rPr>
        <w:t xml:space="preserve">1.4.3 </w:t>
      </w:r>
      <w:r>
        <w:rPr>
          <w:rStyle w:val="33"/>
          <w:rFonts w:hint="eastAsia"/>
        </w:rPr>
        <w:t>标准、规范及指南</w:t>
      </w:r>
      <w:r>
        <w:tab/>
      </w:r>
      <w:r>
        <w:fldChar w:fldCharType="begin"/>
      </w:r>
      <w:r>
        <w:instrText xml:space="preserve"> PAGEREF _Toc84536501 \h </w:instrText>
      </w:r>
      <w:r>
        <w:fldChar w:fldCharType="separate"/>
      </w:r>
      <w:r>
        <w:t>21</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"_Toc84536502" </w:instrText>
      </w:r>
      <w:r>
        <w:fldChar w:fldCharType="separate"/>
      </w:r>
      <w:r>
        <w:rPr>
          <w:rStyle w:val="33"/>
        </w:rPr>
        <w:t xml:space="preserve">1.4.4 </w:t>
      </w:r>
      <w:r>
        <w:rPr>
          <w:rStyle w:val="33"/>
          <w:rFonts w:hint="eastAsia"/>
        </w:rPr>
        <w:t>相关规划与文件</w:t>
      </w:r>
      <w:r>
        <w:tab/>
      </w:r>
      <w:r>
        <w:fldChar w:fldCharType="begin"/>
      </w:r>
      <w:r>
        <w:instrText xml:space="preserve"> PAGEREF _Toc84536502 \h </w:instrText>
      </w:r>
      <w:r>
        <w:fldChar w:fldCharType="separate"/>
      </w:r>
      <w:r>
        <w:t>22</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"_Toc84536503" </w:instrText>
      </w:r>
      <w:r>
        <w:fldChar w:fldCharType="separate"/>
      </w:r>
      <w:r>
        <w:rPr>
          <w:rStyle w:val="33"/>
        </w:rPr>
        <w:t xml:space="preserve">1.5 </w:t>
      </w:r>
      <w:r>
        <w:rPr>
          <w:rStyle w:val="33"/>
          <w:rFonts w:hint="eastAsia" w:asciiTheme="minorEastAsia" w:hAnsiTheme="minorEastAsia"/>
        </w:rPr>
        <w:t>编制原则</w:t>
      </w:r>
      <w:r>
        <w:tab/>
      </w:r>
      <w:r>
        <w:fldChar w:fldCharType="begin"/>
      </w:r>
      <w:r>
        <w:instrText xml:space="preserve"> PAGEREF _Toc84536503 \h </w:instrText>
      </w:r>
      <w:r>
        <w:fldChar w:fldCharType="separate"/>
      </w:r>
      <w:r>
        <w:t>23</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"_Toc84536504" </w:instrText>
      </w:r>
      <w:r>
        <w:fldChar w:fldCharType="separate"/>
      </w:r>
      <w:r>
        <w:rPr>
          <w:rStyle w:val="33"/>
        </w:rPr>
        <w:t xml:space="preserve">1.6 </w:t>
      </w:r>
      <w:r>
        <w:rPr>
          <w:rStyle w:val="33"/>
          <w:rFonts w:hint="eastAsia" w:asciiTheme="minorEastAsia" w:hAnsiTheme="minorEastAsia"/>
        </w:rPr>
        <w:t>方案实施时限及范围</w:t>
      </w:r>
      <w:r>
        <w:tab/>
      </w:r>
      <w:r>
        <w:fldChar w:fldCharType="begin"/>
      </w:r>
      <w:r>
        <w:instrText xml:space="preserve"> PAGEREF _Toc84536504 \h </w:instrText>
      </w:r>
      <w:r>
        <w:fldChar w:fldCharType="separate"/>
      </w:r>
      <w:r>
        <w:t>24</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"_Toc84536505" </w:instrText>
      </w:r>
      <w:r>
        <w:fldChar w:fldCharType="separate"/>
      </w:r>
      <w:r>
        <w:rPr>
          <w:rStyle w:val="33"/>
        </w:rPr>
        <w:t xml:space="preserve">1.7 </w:t>
      </w:r>
      <w:r>
        <w:rPr>
          <w:rStyle w:val="33"/>
          <w:rFonts w:hint="eastAsia" w:asciiTheme="minorEastAsia" w:hAnsiTheme="minorEastAsia"/>
        </w:rPr>
        <w:t>预期目标</w:t>
      </w:r>
      <w:r>
        <w:tab/>
      </w:r>
      <w:r>
        <w:fldChar w:fldCharType="begin"/>
      </w:r>
      <w:r>
        <w:instrText xml:space="preserve"> PAGEREF _Toc84536505 \h </w:instrText>
      </w:r>
      <w:r>
        <w:fldChar w:fldCharType="separate"/>
      </w:r>
      <w:r>
        <w:t>25</w:t>
      </w:r>
      <w:r>
        <w:fldChar w:fldCharType="end"/>
      </w:r>
      <w:r>
        <w:fldChar w:fldCharType="end"/>
      </w:r>
    </w:p>
    <w:p>
      <w:pPr>
        <w:pStyle w:val="20"/>
        <w:tabs>
          <w:tab w:val="right" w:leader="dot" w:pos="9062"/>
        </w:tabs>
        <w:rPr>
          <w:rFonts w:asciiTheme="minorHAnsi" w:hAnsiTheme="minorHAnsi" w:eastAsiaTheme="minorEastAsia" w:cstheme="minorBidi"/>
          <w:b w:val="0"/>
          <w:sz w:val="21"/>
          <w:szCs w:val="22"/>
        </w:rPr>
      </w:pPr>
      <w:r>
        <w:fldChar w:fldCharType="begin"/>
      </w:r>
      <w:r>
        <w:instrText xml:space="preserve"> HYPERLINK \l "_Toc84536506" </w:instrText>
      </w:r>
      <w:r>
        <w:fldChar w:fldCharType="separate"/>
      </w:r>
      <w:r>
        <w:rPr>
          <w:rStyle w:val="33"/>
        </w:rPr>
        <w:t xml:space="preserve">2 </w:t>
      </w:r>
      <w:r>
        <w:rPr>
          <w:rStyle w:val="33"/>
          <w:rFonts w:hint="eastAsia"/>
        </w:rPr>
        <w:t>大运河宿州段流域生态环境状况</w:t>
      </w:r>
      <w:r>
        <w:tab/>
      </w:r>
      <w:r>
        <w:fldChar w:fldCharType="begin"/>
      </w:r>
      <w:r>
        <w:instrText xml:space="preserve"> PAGEREF _Toc84536506 \h </w:instrText>
      </w:r>
      <w:r>
        <w:fldChar w:fldCharType="separate"/>
      </w:r>
      <w:r>
        <w:t>27</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"_Toc84536507" </w:instrText>
      </w:r>
      <w:r>
        <w:fldChar w:fldCharType="separate"/>
      </w:r>
      <w:r>
        <w:rPr>
          <w:rStyle w:val="33"/>
        </w:rPr>
        <w:t xml:space="preserve">2.1 </w:t>
      </w:r>
      <w:r>
        <w:rPr>
          <w:rStyle w:val="33"/>
          <w:rFonts w:hint="eastAsia" w:asciiTheme="minorEastAsia" w:hAnsiTheme="minorEastAsia"/>
        </w:rPr>
        <w:t>大运河宿州段流域生态环境现状调查</w:t>
      </w:r>
      <w:r>
        <w:tab/>
      </w:r>
      <w:r>
        <w:fldChar w:fldCharType="begin"/>
      </w:r>
      <w:r>
        <w:instrText xml:space="preserve"> PAGEREF _Toc84536507 \h </w:instrText>
      </w:r>
      <w:r>
        <w:fldChar w:fldCharType="separate"/>
      </w:r>
      <w:r>
        <w:t>27</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"_Toc84536508" </w:instrText>
      </w:r>
      <w:r>
        <w:fldChar w:fldCharType="separate"/>
      </w:r>
      <w:r>
        <w:rPr>
          <w:rStyle w:val="33"/>
        </w:rPr>
        <w:t xml:space="preserve">2.1.1 </w:t>
      </w:r>
      <w:r>
        <w:rPr>
          <w:rStyle w:val="33"/>
          <w:rFonts w:hint="eastAsia"/>
        </w:rPr>
        <w:t>主要支流支沟</w:t>
      </w:r>
      <w:r>
        <w:tab/>
      </w:r>
      <w:r>
        <w:fldChar w:fldCharType="begin"/>
      </w:r>
      <w:r>
        <w:instrText xml:space="preserve"> PAGEREF _Toc84536508 \h </w:instrText>
      </w:r>
      <w:r>
        <w:fldChar w:fldCharType="separate"/>
      </w:r>
      <w:r>
        <w:t>27</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"_Toc84536509" </w:instrText>
      </w:r>
      <w:r>
        <w:fldChar w:fldCharType="separate"/>
      </w:r>
      <w:r>
        <w:rPr>
          <w:rStyle w:val="33"/>
        </w:rPr>
        <w:t xml:space="preserve">2.1.2 </w:t>
      </w:r>
      <w:r>
        <w:rPr>
          <w:rStyle w:val="33"/>
          <w:rFonts w:hint="eastAsia"/>
        </w:rPr>
        <w:t>水利工程</w:t>
      </w:r>
      <w:r>
        <w:tab/>
      </w:r>
      <w:r>
        <w:fldChar w:fldCharType="begin"/>
      </w:r>
      <w:r>
        <w:instrText xml:space="preserve"> PAGEREF _Toc84536509 \h </w:instrText>
      </w:r>
      <w:r>
        <w:fldChar w:fldCharType="separate"/>
      </w:r>
      <w:r>
        <w:t>28</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"_Toc84536510" </w:instrText>
      </w:r>
      <w:r>
        <w:fldChar w:fldCharType="separate"/>
      </w:r>
      <w:r>
        <w:rPr>
          <w:rStyle w:val="33"/>
        </w:rPr>
        <w:t xml:space="preserve">2.1.3 </w:t>
      </w:r>
      <w:r>
        <w:rPr>
          <w:rStyle w:val="33"/>
          <w:rFonts w:hint="eastAsia"/>
        </w:rPr>
        <w:t>跨（穿）河道线路</w:t>
      </w:r>
      <w:r>
        <w:tab/>
      </w:r>
      <w:r>
        <w:fldChar w:fldCharType="begin"/>
      </w:r>
      <w:r>
        <w:instrText xml:space="preserve"> PAGEREF _Toc84536510 \h </w:instrText>
      </w:r>
      <w:r>
        <w:fldChar w:fldCharType="separate"/>
      </w:r>
      <w:r>
        <w:t>30</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"_Toc84536511" </w:instrText>
      </w:r>
      <w:r>
        <w:fldChar w:fldCharType="separate"/>
      </w:r>
      <w:r>
        <w:rPr>
          <w:rStyle w:val="33"/>
        </w:rPr>
        <w:t xml:space="preserve">2.1.4 </w:t>
      </w:r>
      <w:r>
        <w:rPr>
          <w:rStyle w:val="33"/>
          <w:rFonts w:hint="eastAsia"/>
        </w:rPr>
        <w:t>生态敏感区</w:t>
      </w:r>
      <w:r>
        <w:tab/>
      </w:r>
      <w:r>
        <w:fldChar w:fldCharType="begin"/>
      </w:r>
      <w:r>
        <w:instrText xml:space="preserve"> PAGEREF _Toc84536511 \h </w:instrText>
      </w:r>
      <w:r>
        <w:fldChar w:fldCharType="separate"/>
      </w:r>
      <w:r>
        <w:t>32</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"_Toc84536512" </w:instrText>
      </w:r>
      <w:r>
        <w:fldChar w:fldCharType="separate"/>
      </w:r>
      <w:r>
        <w:rPr>
          <w:rStyle w:val="33"/>
        </w:rPr>
        <w:t xml:space="preserve">2.1.5 </w:t>
      </w:r>
      <w:r>
        <w:rPr>
          <w:rStyle w:val="33"/>
          <w:rFonts w:hint="eastAsia"/>
        </w:rPr>
        <w:t>流域环境现状</w:t>
      </w:r>
      <w:r>
        <w:tab/>
      </w:r>
      <w:r>
        <w:fldChar w:fldCharType="begin"/>
      </w:r>
      <w:r>
        <w:instrText xml:space="preserve"> PAGEREF _Toc84536512 \h </w:instrText>
      </w:r>
      <w:r>
        <w:fldChar w:fldCharType="separate"/>
      </w:r>
      <w:r>
        <w:t>32</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"_Toc84536513" </w:instrText>
      </w:r>
      <w:r>
        <w:fldChar w:fldCharType="separate"/>
      </w:r>
      <w:r>
        <w:rPr>
          <w:rStyle w:val="33"/>
        </w:rPr>
        <w:t xml:space="preserve">2.2 </w:t>
      </w:r>
      <w:r>
        <w:rPr>
          <w:rStyle w:val="33"/>
          <w:rFonts w:hint="eastAsia" w:asciiTheme="minorEastAsia" w:hAnsiTheme="minorEastAsia"/>
        </w:rPr>
        <w:t>大运河宿州段核心区国土空间管控情况</w:t>
      </w:r>
      <w:r>
        <w:tab/>
      </w:r>
      <w:r>
        <w:fldChar w:fldCharType="begin"/>
      </w:r>
      <w:r>
        <w:instrText xml:space="preserve"> PAGEREF _Toc84536513 \h </w:instrText>
      </w:r>
      <w:r>
        <w:fldChar w:fldCharType="separate"/>
      </w:r>
      <w:r>
        <w:t>32</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"_Toc84536514" </w:instrText>
      </w:r>
      <w:r>
        <w:fldChar w:fldCharType="separate"/>
      </w:r>
      <w:r>
        <w:rPr>
          <w:rStyle w:val="33"/>
        </w:rPr>
        <w:t xml:space="preserve">2.2.1 </w:t>
      </w:r>
      <w:r>
        <w:rPr>
          <w:rStyle w:val="33"/>
          <w:rFonts w:hint="eastAsia"/>
        </w:rPr>
        <w:t>文化遗产区</w:t>
      </w:r>
      <w:r>
        <w:tab/>
      </w:r>
      <w:r>
        <w:fldChar w:fldCharType="begin"/>
      </w:r>
      <w:r>
        <w:instrText xml:space="preserve"> PAGEREF _Toc84536514 \h </w:instrText>
      </w:r>
      <w:r>
        <w:fldChar w:fldCharType="separate"/>
      </w:r>
      <w:r>
        <w:t>32</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"_Toc84536515" </w:instrText>
      </w:r>
      <w:r>
        <w:fldChar w:fldCharType="separate"/>
      </w:r>
      <w:r>
        <w:rPr>
          <w:rStyle w:val="33"/>
        </w:rPr>
        <w:t xml:space="preserve">2.2.2 </w:t>
      </w:r>
      <w:r>
        <w:rPr>
          <w:rStyle w:val="33"/>
          <w:rFonts w:hint="eastAsia"/>
        </w:rPr>
        <w:t>生态保护红线区</w:t>
      </w:r>
      <w:r>
        <w:tab/>
      </w:r>
      <w:r>
        <w:fldChar w:fldCharType="begin"/>
      </w:r>
      <w:r>
        <w:instrText xml:space="preserve"> PAGEREF _Toc84536515 \h </w:instrText>
      </w:r>
      <w:r>
        <w:fldChar w:fldCharType="separate"/>
      </w:r>
      <w:r>
        <w:t>35</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"_Toc84536516" </w:instrText>
      </w:r>
      <w:r>
        <w:fldChar w:fldCharType="separate"/>
      </w:r>
      <w:r>
        <w:rPr>
          <w:rStyle w:val="33"/>
        </w:rPr>
        <w:t xml:space="preserve">2.2.3 </w:t>
      </w:r>
      <w:r>
        <w:rPr>
          <w:rStyle w:val="33"/>
          <w:rFonts w:hint="eastAsia"/>
        </w:rPr>
        <w:t>永久基本农田保护区</w:t>
      </w:r>
      <w:r>
        <w:tab/>
      </w:r>
      <w:r>
        <w:fldChar w:fldCharType="begin"/>
      </w:r>
      <w:r>
        <w:instrText xml:space="preserve"> PAGEREF _Toc84536516 \h </w:instrText>
      </w:r>
      <w:r>
        <w:fldChar w:fldCharType="separate"/>
      </w:r>
      <w:r>
        <w:t>35</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"_Toc84536517" </w:instrText>
      </w:r>
      <w:r>
        <w:fldChar w:fldCharType="separate"/>
      </w:r>
      <w:r>
        <w:rPr>
          <w:rStyle w:val="33"/>
        </w:rPr>
        <w:t xml:space="preserve">2.2.4 </w:t>
      </w:r>
      <w:r>
        <w:rPr>
          <w:rStyle w:val="33"/>
          <w:rFonts w:hint="eastAsia"/>
        </w:rPr>
        <w:t>规划建设区</w:t>
      </w:r>
      <w:r>
        <w:tab/>
      </w:r>
      <w:r>
        <w:fldChar w:fldCharType="begin"/>
      </w:r>
      <w:r>
        <w:instrText xml:space="preserve"> PAGEREF _Toc84536517 \h </w:instrText>
      </w:r>
      <w:r>
        <w:fldChar w:fldCharType="separate"/>
      </w:r>
      <w:r>
        <w:t>36</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"_Toc84536518" </w:instrText>
      </w:r>
      <w:r>
        <w:fldChar w:fldCharType="separate"/>
      </w:r>
      <w:r>
        <w:rPr>
          <w:rStyle w:val="33"/>
        </w:rPr>
        <w:t xml:space="preserve">2.2.5 </w:t>
      </w:r>
      <w:r>
        <w:rPr>
          <w:rStyle w:val="33"/>
          <w:rFonts w:hint="eastAsia"/>
        </w:rPr>
        <w:t>非建成区（生态空间）</w:t>
      </w:r>
      <w:r>
        <w:tab/>
      </w:r>
      <w:r>
        <w:fldChar w:fldCharType="begin"/>
      </w:r>
      <w:r>
        <w:instrText xml:space="preserve"> PAGEREF _Toc84536518 \h </w:instrText>
      </w:r>
      <w:r>
        <w:fldChar w:fldCharType="separate"/>
      </w:r>
      <w:r>
        <w:t>38</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"_Toc84536519" </w:instrText>
      </w:r>
      <w:r>
        <w:fldChar w:fldCharType="separate"/>
      </w:r>
      <w:r>
        <w:rPr>
          <w:rStyle w:val="33"/>
        </w:rPr>
        <w:t xml:space="preserve">2.2.6 </w:t>
      </w:r>
      <w:r>
        <w:rPr>
          <w:rStyle w:val="33"/>
          <w:rFonts w:hint="eastAsia"/>
        </w:rPr>
        <w:t>非建成区（农业空间）</w:t>
      </w:r>
      <w:r>
        <w:tab/>
      </w:r>
      <w:r>
        <w:fldChar w:fldCharType="begin"/>
      </w:r>
      <w:r>
        <w:instrText xml:space="preserve"> PAGEREF _Toc84536519 \h </w:instrText>
      </w:r>
      <w:r>
        <w:fldChar w:fldCharType="separate"/>
      </w:r>
      <w:r>
        <w:t>39</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"_Toc84536520" </w:instrText>
      </w:r>
      <w:r>
        <w:fldChar w:fldCharType="separate"/>
      </w:r>
      <w:r>
        <w:rPr>
          <w:rStyle w:val="33"/>
        </w:rPr>
        <w:t xml:space="preserve">2.2.7 </w:t>
      </w:r>
      <w:r>
        <w:rPr>
          <w:rStyle w:val="33"/>
          <w:rFonts w:hint="eastAsia"/>
        </w:rPr>
        <w:t>建成区（村庄空间）</w:t>
      </w:r>
      <w:r>
        <w:tab/>
      </w:r>
      <w:r>
        <w:fldChar w:fldCharType="begin"/>
      </w:r>
      <w:r>
        <w:instrText xml:space="preserve"> PAGEREF _Toc84536520 \h </w:instrText>
      </w:r>
      <w:r>
        <w:fldChar w:fldCharType="separate"/>
      </w:r>
      <w:r>
        <w:t>40</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"_Toc84536521" </w:instrText>
      </w:r>
      <w:r>
        <w:fldChar w:fldCharType="separate"/>
      </w:r>
      <w:r>
        <w:rPr>
          <w:rStyle w:val="33"/>
        </w:rPr>
        <w:t xml:space="preserve">2.2.8 </w:t>
      </w:r>
      <w:r>
        <w:rPr>
          <w:rStyle w:val="33"/>
          <w:rFonts w:hint="eastAsia"/>
        </w:rPr>
        <w:t>建成区（城镇空间）</w:t>
      </w:r>
      <w:r>
        <w:tab/>
      </w:r>
      <w:r>
        <w:fldChar w:fldCharType="begin"/>
      </w:r>
      <w:r>
        <w:instrText xml:space="preserve"> PAGEREF _Toc84536521 \h </w:instrText>
      </w:r>
      <w:r>
        <w:fldChar w:fldCharType="separate"/>
      </w:r>
      <w:r>
        <w:t>41</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"_Toc84536522" </w:instrText>
      </w:r>
      <w:r>
        <w:fldChar w:fldCharType="separate"/>
      </w:r>
      <w:r>
        <w:rPr>
          <w:rStyle w:val="33"/>
        </w:rPr>
        <w:t xml:space="preserve">2.3 </w:t>
      </w:r>
      <w:r>
        <w:rPr>
          <w:rStyle w:val="33"/>
          <w:rFonts w:hint="eastAsia" w:asciiTheme="minorEastAsia" w:hAnsiTheme="minorEastAsia"/>
        </w:rPr>
        <w:t>大运河宿州段水环境质量现状评价</w:t>
      </w:r>
      <w:r>
        <w:tab/>
      </w:r>
      <w:r>
        <w:fldChar w:fldCharType="begin"/>
      </w:r>
      <w:r>
        <w:instrText xml:space="preserve"> PAGEREF _Toc84536522 \h </w:instrText>
      </w:r>
      <w:r>
        <w:fldChar w:fldCharType="separate"/>
      </w:r>
      <w:r>
        <w:t>43</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"_Toc84536523" </w:instrText>
      </w:r>
      <w:r>
        <w:fldChar w:fldCharType="separate"/>
      </w:r>
      <w:r>
        <w:rPr>
          <w:rStyle w:val="33"/>
        </w:rPr>
        <w:t xml:space="preserve">2.3.1 </w:t>
      </w:r>
      <w:r>
        <w:rPr>
          <w:rStyle w:val="33"/>
          <w:rFonts w:hint="eastAsia"/>
        </w:rPr>
        <w:t>监测断面设置</w:t>
      </w:r>
      <w:r>
        <w:tab/>
      </w:r>
      <w:r>
        <w:fldChar w:fldCharType="begin"/>
      </w:r>
      <w:r>
        <w:instrText xml:space="preserve"> PAGEREF _Toc84536523 \h </w:instrText>
      </w:r>
      <w:r>
        <w:fldChar w:fldCharType="separate"/>
      </w:r>
      <w:r>
        <w:t>43</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"_Toc84536524" </w:instrText>
      </w:r>
      <w:r>
        <w:fldChar w:fldCharType="separate"/>
      </w:r>
      <w:r>
        <w:rPr>
          <w:rStyle w:val="33"/>
        </w:rPr>
        <w:t xml:space="preserve">2.3.2 </w:t>
      </w:r>
      <w:r>
        <w:rPr>
          <w:rStyle w:val="33"/>
          <w:rFonts w:hint="eastAsia"/>
        </w:rPr>
        <w:t>监测指标确定</w:t>
      </w:r>
      <w:r>
        <w:tab/>
      </w:r>
      <w:r>
        <w:fldChar w:fldCharType="begin"/>
      </w:r>
      <w:r>
        <w:instrText xml:space="preserve"> PAGEREF _Toc84536524 \h </w:instrText>
      </w:r>
      <w:r>
        <w:fldChar w:fldCharType="separate"/>
      </w:r>
      <w:r>
        <w:t>45</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"_Toc84536525" </w:instrText>
      </w:r>
      <w:r>
        <w:fldChar w:fldCharType="separate"/>
      </w:r>
      <w:r>
        <w:rPr>
          <w:rStyle w:val="33"/>
        </w:rPr>
        <w:t xml:space="preserve">2.3.3 </w:t>
      </w:r>
      <w:r>
        <w:rPr>
          <w:rStyle w:val="33"/>
          <w:rFonts w:hint="eastAsia"/>
        </w:rPr>
        <w:t>采样及分析方法</w:t>
      </w:r>
      <w:r>
        <w:tab/>
      </w:r>
      <w:r>
        <w:fldChar w:fldCharType="begin"/>
      </w:r>
      <w:r>
        <w:instrText xml:space="preserve"> PAGEREF _Toc84536525 \h </w:instrText>
      </w:r>
      <w:r>
        <w:fldChar w:fldCharType="separate"/>
      </w:r>
      <w:r>
        <w:t>45</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"_Toc84536526" </w:instrText>
      </w:r>
      <w:r>
        <w:fldChar w:fldCharType="separate"/>
      </w:r>
      <w:r>
        <w:rPr>
          <w:rStyle w:val="33"/>
        </w:rPr>
        <w:t xml:space="preserve">2.3.4 </w:t>
      </w:r>
      <w:r>
        <w:rPr>
          <w:rStyle w:val="33"/>
          <w:rFonts w:hint="eastAsia"/>
        </w:rPr>
        <w:t>水环境质量现状评价</w:t>
      </w:r>
      <w:r>
        <w:tab/>
      </w:r>
      <w:r>
        <w:fldChar w:fldCharType="begin"/>
      </w:r>
      <w:r>
        <w:instrText xml:space="preserve"> PAGEREF _Toc84536526 \h </w:instrText>
      </w:r>
      <w:r>
        <w:fldChar w:fldCharType="separate"/>
      </w:r>
      <w:r>
        <w:t>45</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"_Toc84536527" </w:instrText>
      </w:r>
      <w:r>
        <w:fldChar w:fldCharType="separate"/>
      </w:r>
      <w:r>
        <w:rPr>
          <w:rStyle w:val="33"/>
        </w:rPr>
        <w:t xml:space="preserve">2.4 </w:t>
      </w:r>
      <w:r>
        <w:rPr>
          <w:rStyle w:val="33"/>
          <w:rFonts w:hint="eastAsia" w:asciiTheme="minorEastAsia" w:hAnsiTheme="minorEastAsia"/>
        </w:rPr>
        <w:t>大运河宿州段核心区空气环境质量总体状况</w:t>
      </w:r>
      <w:r>
        <w:tab/>
      </w:r>
      <w:r>
        <w:fldChar w:fldCharType="begin"/>
      </w:r>
      <w:r>
        <w:instrText xml:space="preserve"> PAGEREF _Toc84536527 \h </w:instrText>
      </w:r>
      <w:r>
        <w:fldChar w:fldCharType="separate"/>
      </w:r>
      <w:r>
        <w:t>50</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"_Toc84536528" </w:instrText>
      </w:r>
      <w:r>
        <w:fldChar w:fldCharType="separate"/>
      </w:r>
      <w:r>
        <w:rPr>
          <w:rStyle w:val="33"/>
        </w:rPr>
        <w:t xml:space="preserve">2.5 </w:t>
      </w:r>
      <w:r>
        <w:rPr>
          <w:rStyle w:val="33"/>
          <w:rFonts w:hint="eastAsia" w:asciiTheme="minorEastAsia" w:hAnsiTheme="minorEastAsia"/>
        </w:rPr>
        <w:t>大运河宿州段核心区土壤环境质量总体状况</w:t>
      </w:r>
      <w:r>
        <w:tab/>
      </w:r>
      <w:r>
        <w:fldChar w:fldCharType="begin"/>
      </w:r>
      <w:r>
        <w:instrText xml:space="preserve"> PAGEREF _Toc84536528 \h </w:instrText>
      </w:r>
      <w:r>
        <w:fldChar w:fldCharType="separate"/>
      </w:r>
      <w:r>
        <w:t>54</w:t>
      </w:r>
      <w:r>
        <w:fldChar w:fldCharType="end"/>
      </w:r>
      <w:r>
        <w:fldChar w:fldCharType="end"/>
      </w:r>
    </w:p>
    <w:p>
      <w:pPr>
        <w:pStyle w:val="20"/>
        <w:tabs>
          <w:tab w:val="right" w:leader="dot" w:pos="9062"/>
        </w:tabs>
        <w:rPr>
          <w:rFonts w:asciiTheme="minorHAnsi" w:hAnsiTheme="minorHAnsi" w:eastAsiaTheme="minorEastAsia" w:cstheme="minorBidi"/>
          <w:b w:val="0"/>
          <w:sz w:val="21"/>
          <w:szCs w:val="22"/>
        </w:rPr>
      </w:pPr>
      <w:r>
        <w:fldChar w:fldCharType="begin"/>
      </w:r>
      <w:r>
        <w:instrText xml:space="preserve"> HYPERLINK \l "_Toc84536529" </w:instrText>
      </w:r>
      <w:r>
        <w:fldChar w:fldCharType="separate"/>
      </w:r>
      <w:r>
        <w:rPr>
          <w:rStyle w:val="33"/>
        </w:rPr>
        <w:t xml:space="preserve">3 </w:t>
      </w:r>
      <w:r>
        <w:rPr>
          <w:rStyle w:val="33"/>
          <w:rFonts w:hint="eastAsia"/>
        </w:rPr>
        <w:t>大运河宿州段生态环境现状问题及成因分析</w:t>
      </w:r>
      <w:r>
        <w:tab/>
      </w:r>
      <w:r>
        <w:fldChar w:fldCharType="begin"/>
      </w:r>
      <w:r>
        <w:instrText xml:space="preserve"> PAGEREF _Toc84536529 \h </w:instrText>
      </w:r>
      <w:r>
        <w:fldChar w:fldCharType="separate"/>
      </w:r>
      <w:r>
        <w:t>55</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"_Toc84536530" </w:instrText>
      </w:r>
      <w:r>
        <w:fldChar w:fldCharType="separate"/>
      </w:r>
      <w:r>
        <w:rPr>
          <w:rStyle w:val="33"/>
        </w:rPr>
        <w:t xml:space="preserve">3.1 </w:t>
      </w:r>
      <w:r>
        <w:rPr>
          <w:rStyle w:val="33"/>
          <w:rFonts w:hint="eastAsia" w:asciiTheme="minorEastAsia" w:hAnsiTheme="minorEastAsia"/>
        </w:rPr>
        <w:t>大运河无水河段</w:t>
      </w:r>
      <w:r>
        <w:tab/>
      </w:r>
      <w:r>
        <w:fldChar w:fldCharType="begin"/>
      </w:r>
      <w:r>
        <w:instrText xml:space="preserve"> PAGEREF _Toc84536530 \h </w:instrText>
      </w:r>
      <w:r>
        <w:fldChar w:fldCharType="separate"/>
      </w:r>
      <w:r>
        <w:t>55</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"_Toc84536531" </w:instrText>
      </w:r>
      <w:r>
        <w:fldChar w:fldCharType="separate"/>
      </w:r>
      <w:r>
        <w:rPr>
          <w:rStyle w:val="33"/>
        </w:rPr>
        <w:t xml:space="preserve">3.1.1 </w:t>
      </w:r>
      <w:r>
        <w:rPr>
          <w:rStyle w:val="33"/>
          <w:rFonts w:hint="eastAsia"/>
        </w:rPr>
        <w:t>采煤塌陷区</w:t>
      </w:r>
      <w:r>
        <w:tab/>
      </w:r>
      <w:r>
        <w:fldChar w:fldCharType="begin"/>
      </w:r>
      <w:r>
        <w:instrText xml:space="preserve"> PAGEREF _Toc84536531 \h </w:instrText>
      </w:r>
      <w:r>
        <w:fldChar w:fldCharType="separate"/>
      </w:r>
      <w:r>
        <w:t>55</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"_Toc84536532" </w:instrText>
      </w:r>
      <w:r>
        <w:fldChar w:fldCharType="separate"/>
      </w:r>
      <w:r>
        <w:rPr>
          <w:rStyle w:val="33"/>
        </w:rPr>
        <w:t xml:space="preserve">3.1.2 </w:t>
      </w:r>
      <w:r>
        <w:rPr>
          <w:rStyle w:val="33"/>
          <w:rFonts w:hint="eastAsia"/>
        </w:rPr>
        <w:t>农业面源</w:t>
      </w:r>
      <w:r>
        <w:tab/>
      </w:r>
      <w:r>
        <w:fldChar w:fldCharType="begin"/>
      </w:r>
      <w:r>
        <w:instrText xml:space="preserve"> PAGEREF _Toc84536532 \h </w:instrText>
      </w:r>
      <w:r>
        <w:fldChar w:fldCharType="separate"/>
      </w:r>
      <w:r>
        <w:t>56</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"_Toc84536533" </w:instrText>
      </w:r>
      <w:r>
        <w:fldChar w:fldCharType="separate"/>
      </w:r>
      <w:r>
        <w:rPr>
          <w:rStyle w:val="33"/>
        </w:rPr>
        <w:t xml:space="preserve">3.2 </w:t>
      </w:r>
      <w:r>
        <w:rPr>
          <w:rStyle w:val="33"/>
          <w:rFonts w:hint="eastAsia" w:asciiTheme="minorEastAsia" w:hAnsiTheme="minorEastAsia"/>
        </w:rPr>
        <w:t>大运河有水河段</w:t>
      </w:r>
      <w:r>
        <w:tab/>
      </w:r>
      <w:r>
        <w:fldChar w:fldCharType="begin"/>
      </w:r>
      <w:r>
        <w:instrText xml:space="preserve"> PAGEREF _Toc84536533 \h </w:instrText>
      </w:r>
      <w:r>
        <w:fldChar w:fldCharType="separate"/>
      </w:r>
      <w:r>
        <w:t>57</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"_Toc84536534" </w:instrText>
      </w:r>
      <w:r>
        <w:fldChar w:fldCharType="separate"/>
      </w:r>
      <w:r>
        <w:rPr>
          <w:rStyle w:val="33"/>
        </w:rPr>
        <w:t xml:space="preserve">3.2.1 </w:t>
      </w:r>
      <w:r>
        <w:rPr>
          <w:rStyle w:val="33"/>
          <w:rFonts w:hint="eastAsia"/>
        </w:rPr>
        <w:t>城镇生活污染源</w:t>
      </w:r>
      <w:r>
        <w:tab/>
      </w:r>
      <w:r>
        <w:fldChar w:fldCharType="begin"/>
      </w:r>
      <w:r>
        <w:instrText xml:space="preserve"> PAGEREF _Toc84536534 \h </w:instrText>
      </w:r>
      <w:r>
        <w:fldChar w:fldCharType="separate"/>
      </w:r>
      <w:r>
        <w:t>57</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"_Toc84536535" </w:instrText>
      </w:r>
      <w:r>
        <w:fldChar w:fldCharType="separate"/>
      </w:r>
      <w:r>
        <w:rPr>
          <w:rStyle w:val="33"/>
        </w:rPr>
        <w:t xml:space="preserve">3.2.2 </w:t>
      </w:r>
      <w:r>
        <w:rPr>
          <w:rStyle w:val="33"/>
          <w:rFonts w:hint="eastAsia"/>
        </w:rPr>
        <w:t>农业面源</w:t>
      </w:r>
      <w:r>
        <w:tab/>
      </w:r>
      <w:r>
        <w:fldChar w:fldCharType="begin"/>
      </w:r>
      <w:r>
        <w:instrText xml:space="preserve"> PAGEREF _Toc84536535 \h </w:instrText>
      </w:r>
      <w:r>
        <w:fldChar w:fldCharType="separate"/>
      </w:r>
      <w:r>
        <w:t>60</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"_Toc84536536" </w:instrText>
      </w:r>
      <w:r>
        <w:fldChar w:fldCharType="separate"/>
      </w:r>
      <w:r>
        <w:rPr>
          <w:rStyle w:val="33"/>
        </w:rPr>
        <w:t xml:space="preserve">3.2.3 </w:t>
      </w:r>
      <w:r>
        <w:rPr>
          <w:rStyle w:val="33"/>
          <w:rFonts w:hint="eastAsia"/>
        </w:rPr>
        <w:t>河道内源</w:t>
      </w:r>
      <w:r>
        <w:tab/>
      </w:r>
      <w:r>
        <w:fldChar w:fldCharType="begin"/>
      </w:r>
      <w:r>
        <w:instrText xml:space="preserve"> PAGEREF _Toc84536536 \h </w:instrText>
      </w:r>
      <w:r>
        <w:fldChar w:fldCharType="separate"/>
      </w:r>
      <w:r>
        <w:t>63</w:t>
      </w:r>
      <w:r>
        <w:fldChar w:fldCharType="end"/>
      </w:r>
      <w:r>
        <w:fldChar w:fldCharType="end"/>
      </w:r>
    </w:p>
    <w:p>
      <w:pPr>
        <w:pStyle w:val="20"/>
        <w:tabs>
          <w:tab w:val="right" w:leader="dot" w:pos="9062"/>
        </w:tabs>
        <w:rPr>
          <w:rFonts w:asciiTheme="minorHAnsi" w:hAnsiTheme="minorHAnsi" w:eastAsiaTheme="minorEastAsia" w:cstheme="minorBidi"/>
          <w:b w:val="0"/>
          <w:sz w:val="21"/>
          <w:szCs w:val="22"/>
        </w:rPr>
      </w:pPr>
      <w:r>
        <w:fldChar w:fldCharType="begin"/>
      </w:r>
      <w:r>
        <w:instrText xml:space="preserve"> HYPERLINK \l "_Toc84536537" </w:instrText>
      </w:r>
      <w:r>
        <w:fldChar w:fldCharType="separate"/>
      </w:r>
      <w:r>
        <w:rPr>
          <w:rStyle w:val="33"/>
        </w:rPr>
        <w:t xml:space="preserve">4 </w:t>
      </w:r>
      <w:r>
        <w:rPr>
          <w:rStyle w:val="33"/>
          <w:rFonts w:hint="eastAsia"/>
        </w:rPr>
        <w:t>大运河生态环境保护修复方案</w:t>
      </w:r>
      <w:r>
        <w:tab/>
      </w:r>
      <w:r>
        <w:fldChar w:fldCharType="begin"/>
      </w:r>
      <w:r>
        <w:instrText xml:space="preserve"> PAGEREF _Toc84536537 \h </w:instrText>
      </w:r>
      <w:r>
        <w:fldChar w:fldCharType="separate"/>
      </w:r>
      <w:r>
        <w:t>65</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"_Toc84536538" </w:instrText>
      </w:r>
      <w:r>
        <w:fldChar w:fldCharType="separate"/>
      </w:r>
      <w:r>
        <w:rPr>
          <w:rStyle w:val="33"/>
        </w:rPr>
        <w:t xml:space="preserve">4.1 </w:t>
      </w:r>
      <w:r>
        <w:rPr>
          <w:rStyle w:val="33"/>
          <w:rFonts w:hint="eastAsia"/>
        </w:rPr>
        <w:t>建设绿色生态廊道</w:t>
      </w:r>
      <w:r>
        <w:tab/>
      </w:r>
      <w:r>
        <w:fldChar w:fldCharType="begin"/>
      </w:r>
      <w:r>
        <w:instrText xml:space="preserve"> PAGEREF _Toc84536538 \h </w:instrText>
      </w:r>
      <w:r>
        <w:fldChar w:fldCharType="separate"/>
      </w:r>
      <w:r>
        <w:t>65</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"_Toc84536539" </w:instrText>
      </w:r>
      <w:r>
        <w:fldChar w:fldCharType="separate"/>
      </w:r>
      <w:r>
        <w:rPr>
          <w:rStyle w:val="33"/>
        </w:rPr>
        <w:t xml:space="preserve">4.1.1 </w:t>
      </w:r>
      <w:r>
        <w:rPr>
          <w:rStyle w:val="33"/>
          <w:rFonts w:hint="eastAsia"/>
        </w:rPr>
        <w:t>推进滨河生态屏障建设</w:t>
      </w:r>
      <w:r>
        <w:tab/>
      </w:r>
      <w:r>
        <w:fldChar w:fldCharType="begin"/>
      </w:r>
      <w:r>
        <w:instrText xml:space="preserve"> PAGEREF _Toc84536539 \h </w:instrText>
      </w:r>
      <w:r>
        <w:fldChar w:fldCharType="separate"/>
      </w:r>
      <w:r>
        <w:t>65</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"_Toc84536540" </w:instrText>
      </w:r>
      <w:r>
        <w:fldChar w:fldCharType="separate"/>
      </w:r>
      <w:r>
        <w:rPr>
          <w:rStyle w:val="33"/>
        </w:rPr>
        <w:t xml:space="preserve">4.1.2 </w:t>
      </w:r>
      <w:r>
        <w:rPr>
          <w:rStyle w:val="33"/>
          <w:rFonts w:hint="eastAsia"/>
        </w:rPr>
        <w:t>推进滨水生态空间建设</w:t>
      </w:r>
      <w:r>
        <w:tab/>
      </w:r>
      <w:r>
        <w:fldChar w:fldCharType="begin"/>
      </w:r>
      <w:r>
        <w:instrText xml:space="preserve"> PAGEREF _Toc84536540 \h </w:instrText>
      </w:r>
      <w:r>
        <w:fldChar w:fldCharType="separate"/>
      </w:r>
      <w:r>
        <w:t>66</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"_Toc84536541" </w:instrText>
      </w:r>
      <w:r>
        <w:fldChar w:fldCharType="separate"/>
      </w:r>
      <w:r>
        <w:rPr>
          <w:rStyle w:val="33"/>
        </w:rPr>
        <w:t xml:space="preserve">4.1.3 </w:t>
      </w:r>
      <w:r>
        <w:rPr>
          <w:rStyle w:val="33"/>
          <w:rFonts w:hint="eastAsia"/>
        </w:rPr>
        <w:t>加强重点区域采煤塌陷区综合治理</w:t>
      </w:r>
      <w:r>
        <w:tab/>
      </w:r>
      <w:r>
        <w:fldChar w:fldCharType="begin"/>
      </w:r>
      <w:r>
        <w:instrText xml:space="preserve"> PAGEREF _Toc84536541 \h </w:instrText>
      </w:r>
      <w:r>
        <w:fldChar w:fldCharType="separate"/>
      </w:r>
      <w:r>
        <w:t>66</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"_Toc84536542" </w:instrText>
      </w:r>
      <w:r>
        <w:fldChar w:fldCharType="separate"/>
      </w:r>
      <w:r>
        <w:rPr>
          <w:rStyle w:val="33"/>
        </w:rPr>
        <w:t xml:space="preserve">4.1.4 </w:t>
      </w:r>
      <w:r>
        <w:rPr>
          <w:rStyle w:val="33"/>
          <w:rFonts w:hint="eastAsia"/>
        </w:rPr>
        <w:t>加强生态空间管控</w:t>
      </w:r>
      <w:r>
        <w:tab/>
      </w:r>
      <w:r>
        <w:fldChar w:fldCharType="begin"/>
      </w:r>
      <w:r>
        <w:instrText xml:space="preserve"> PAGEREF _Toc84536542 \h </w:instrText>
      </w:r>
      <w:r>
        <w:fldChar w:fldCharType="separate"/>
      </w:r>
      <w:r>
        <w:t>67</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"_Toc84536543" </w:instrText>
      </w:r>
      <w:r>
        <w:fldChar w:fldCharType="separate"/>
      </w:r>
      <w:r>
        <w:rPr>
          <w:rStyle w:val="33"/>
        </w:rPr>
        <w:t xml:space="preserve">4.2 </w:t>
      </w:r>
      <w:r>
        <w:rPr>
          <w:rStyle w:val="33"/>
          <w:rFonts w:hint="eastAsia"/>
        </w:rPr>
        <w:t>强化流域水污染防治</w:t>
      </w:r>
      <w:r>
        <w:tab/>
      </w:r>
      <w:r>
        <w:fldChar w:fldCharType="begin"/>
      </w:r>
      <w:r>
        <w:instrText xml:space="preserve"> PAGEREF _Toc84536543 \h </w:instrText>
      </w:r>
      <w:r>
        <w:fldChar w:fldCharType="separate"/>
      </w:r>
      <w:r>
        <w:t>68</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"_Toc84536544" </w:instrText>
      </w:r>
      <w:r>
        <w:fldChar w:fldCharType="separate"/>
      </w:r>
      <w:r>
        <w:rPr>
          <w:rStyle w:val="33"/>
        </w:rPr>
        <w:t xml:space="preserve">4.2.1 </w:t>
      </w:r>
      <w:r>
        <w:rPr>
          <w:rStyle w:val="33"/>
          <w:rFonts w:hint="eastAsia" w:asciiTheme="minorEastAsia" w:hAnsiTheme="minorEastAsia"/>
        </w:rPr>
        <w:t>加快推进城镇污水垃圾治理</w:t>
      </w:r>
      <w:r>
        <w:tab/>
      </w:r>
      <w:r>
        <w:fldChar w:fldCharType="begin"/>
      </w:r>
      <w:r>
        <w:instrText xml:space="preserve"> PAGEREF _Toc84536544 \h </w:instrText>
      </w:r>
      <w:r>
        <w:fldChar w:fldCharType="separate"/>
      </w:r>
      <w:r>
        <w:t>68</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"_Toc84536545" </w:instrText>
      </w:r>
      <w:r>
        <w:fldChar w:fldCharType="separate"/>
      </w:r>
      <w:r>
        <w:rPr>
          <w:rStyle w:val="33"/>
        </w:rPr>
        <w:t xml:space="preserve">4.2.2 </w:t>
      </w:r>
      <w:r>
        <w:rPr>
          <w:rStyle w:val="33"/>
          <w:rFonts w:hint="eastAsia"/>
        </w:rPr>
        <w:t>全面落实农村人居环境整治工作</w:t>
      </w:r>
      <w:r>
        <w:tab/>
      </w:r>
      <w:r>
        <w:fldChar w:fldCharType="begin"/>
      </w:r>
      <w:r>
        <w:instrText xml:space="preserve"> PAGEREF _Toc84536545 \h </w:instrText>
      </w:r>
      <w:r>
        <w:fldChar w:fldCharType="separate"/>
      </w:r>
      <w:r>
        <w:t>69</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"_Toc84536546" </w:instrText>
      </w:r>
      <w:r>
        <w:fldChar w:fldCharType="separate"/>
      </w:r>
      <w:r>
        <w:rPr>
          <w:rStyle w:val="33"/>
        </w:rPr>
        <w:t xml:space="preserve">4.3 </w:t>
      </w:r>
      <w:r>
        <w:rPr>
          <w:rStyle w:val="33"/>
          <w:rFonts w:hint="eastAsia" w:asciiTheme="minorEastAsia" w:hAnsiTheme="minorEastAsia"/>
        </w:rPr>
        <w:t>推进河道水系治理管护</w:t>
      </w:r>
      <w:r>
        <w:tab/>
      </w:r>
      <w:r>
        <w:fldChar w:fldCharType="begin"/>
      </w:r>
      <w:r>
        <w:instrText xml:space="preserve"> PAGEREF _Toc84536546 \h </w:instrText>
      </w:r>
      <w:r>
        <w:fldChar w:fldCharType="separate"/>
      </w:r>
      <w:r>
        <w:t>72</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"_Toc84536547" </w:instrText>
      </w:r>
      <w:r>
        <w:fldChar w:fldCharType="separate"/>
      </w:r>
      <w:r>
        <w:rPr>
          <w:rStyle w:val="33"/>
        </w:rPr>
        <w:t xml:space="preserve">4.3.1 </w:t>
      </w:r>
      <w:r>
        <w:rPr>
          <w:rStyle w:val="33"/>
          <w:rFonts w:hint="eastAsia"/>
        </w:rPr>
        <w:t>改善现有水系连通性</w:t>
      </w:r>
      <w:r>
        <w:tab/>
      </w:r>
      <w:r>
        <w:fldChar w:fldCharType="begin"/>
      </w:r>
      <w:r>
        <w:instrText xml:space="preserve"> PAGEREF _Toc84536547 \h </w:instrText>
      </w:r>
      <w:r>
        <w:fldChar w:fldCharType="separate"/>
      </w:r>
      <w:r>
        <w:t>72</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"_Toc84536548" </w:instrText>
      </w:r>
      <w:r>
        <w:fldChar w:fldCharType="separate"/>
      </w:r>
      <w:r>
        <w:rPr>
          <w:rStyle w:val="33"/>
        </w:rPr>
        <w:t xml:space="preserve">4.3.2 </w:t>
      </w:r>
      <w:r>
        <w:rPr>
          <w:rStyle w:val="33"/>
          <w:rFonts w:hint="eastAsia"/>
        </w:rPr>
        <w:t>分段施策打造大运河实体</w:t>
      </w:r>
      <w:r>
        <w:tab/>
      </w:r>
      <w:r>
        <w:fldChar w:fldCharType="begin"/>
      </w:r>
      <w:r>
        <w:instrText xml:space="preserve"> PAGEREF _Toc84536548 \h </w:instrText>
      </w:r>
      <w:r>
        <w:fldChar w:fldCharType="separate"/>
      </w:r>
      <w:r>
        <w:t>72</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"_Toc84536549" </w:instrText>
      </w:r>
      <w:r>
        <w:fldChar w:fldCharType="separate"/>
      </w:r>
      <w:r>
        <w:rPr>
          <w:rStyle w:val="33"/>
        </w:rPr>
        <w:t xml:space="preserve">4.4 </w:t>
      </w:r>
      <w:r>
        <w:rPr>
          <w:rStyle w:val="33"/>
          <w:rFonts w:hint="eastAsia"/>
        </w:rPr>
        <w:t>加强小流域综合治理</w:t>
      </w:r>
      <w:r>
        <w:tab/>
      </w:r>
      <w:r>
        <w:fldChar w:fldCharType="begin"/>
      </w:r>
      <w:r>
        <w:instrText xml:space="preserve"> PAGEREF _Toc84536549 \h </w:instrText>
      </w:r>
      <w:r>
        <w:fldChar w:fldCharType="separate"/>
      </w:r>
      <w:r>
        <w:t>74</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"_Toc84536550" </w:instrText>
      </w:r>
      <w:r>
        <w:fldChar w:fldCharType="separate"/>
      </w:r>
      <w:r>
        <w:rPr>
          <w:rStyle w:val="33"/>
        </w:rPr>
        <w:t xml:space="preserve">4.5 </w:t>
      </w:r>
      <w:r>
        <w:rPr>
          <w:rStyle w:val="33"/>
          <w:rFonts w:hint="eastAsia"/>
        </w:rPr>
        <w:t>加强水生态环境监测</w:t>
      </w:r>
      <w:r>
        <w:tab/>
      </w:r>
      <w:r>
        <w:fldChar w:fldCharType="begin"/>
      </w:r>
      <w:r>
        <w:instrText xml:space="preserve"> PAGEREF _Toc84536550 \h </w:instrText>
      </w:r>
      <w:r>
        <w:fldChar w:fldCharType="separate"/>
      </w:r>
      <w:r>
        <w:t>75</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"_Toc84536551" </w:instrText>
      </w:r>
      <w:r>
        <w:fldChar w:fldCharType="separate"/>
      </w:r>
      <w:r>
        <w:rPr>
          <w:rStyle w:val="33"/>
        </w:rPr>
        <w:t xml:space="preserve">4.6 </w:t>
      </w:r>
      <w:r>
        <w:rPr>
          <w:rStyle w:val="33"/>
          <w:rFonts w:hint="eastAsia" w:asciiTheme="minorEastAsia" w:hAnsiTheme="minorEastAsia"/>
        </w:rPr>
        <w:t>主要实施项目汇总</w:t>
      </w:r>
      <w:r>
        <w:tab/>
      </w:r>
      <w:r>
        <w:fldChar w:fldCharType="begin"/>
      </w:r>
      <w:r>
        <w:instrText xml:space="preserve"> PAGEREF _Toc84536551 \h </w:instrText>
      </w:r>
      <w:r>
        <w:fldChar w:fldCharType="separate"/>
      </w:r>
      <w:r>
        <w:t>78</w:t>
      </w:r>
      <w:r>
        <w:fldChar w:fldCharType="end"/>
      </w:r>
      <w:r>
        <w:fldChar w:fldCharType="end"/>
      </w:r>
    </w:p>
    <w:p>
      <w:pPr>
        <w:pStyle w:val="20"/>
        <w:tabs>
          <w:tab w:val="right" w:leader="dot" w:pos="9062"/>
        </w:tabs>
        <w:rPr>
          <w:rFonts w:asciiTheme="minorHAnsi" w:hAnsiTheme="minorHAnsi" w:eastAsiaTheme="minorEastAsia" w:cstheme="minorBidi"/>
          <w:b w:val="0"/>
          <w:sz w:val="21"/>
          <w:szCs w:val="22"/>
        </w:rPr>
      </w:pPr>
      <w:r>
        <w:fldChar w:fldCharType="begin"/>
      </w:r>
      <w:r>
        <w:instrText xml:space="preserve"> HYPERLINK \l "_Toc84536552" </w:instrText>
      </w:r>
      <w:r>
        <w:fldChar w:fldCharType="separate"/>
      </w:r>
      <w:r>
        <w:rPr>
          <w:rStyle w:val="33"/>
        </w:rPr>
        <w:t xml:space="preserve">5 </w:t>
      </w:r>
      <w:r>
        <w:rPr>
          <w:rStyle w:val="33"/>
          <w:rFonts w:hint="eastAsia"/>
        </w:rPr>
        <w:t>大运河宿州段长效保护机制方案</w:t>
      </w:r>
      <w:r>
        <w:tab/>
      </w:r>
      <w:r>
        <w:fldChar w:fldCharType="begin"/>
      </w:r>
      <w:r>
        <w:instrText xml:space="preserve"> PAGEREF _Toc84536552 \h </w:instrText>
      </w:r>
      <w:r>
        <w:fldChar w:fldCharType="separate"/>
      </w:r>
      <w:r>
        <w:t>82</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"_Toc84536553" </w:instrText>
      </w:r>
      <w:r>
        <w:fldChar w:fldCharType="separate"/>
      </w:r>
      <w:r>
        <w:rPr>
          <w:rStyle w:val="33"/>
        </w:rPr>
        <w:t xml:space="preserve">5.1 </w:t>
      </w:r>
      <w:r>
        <w:rPr>
          <w:rStyle w:val="33"/>
          <w:rFonts w:hint="eastAsia"/>
        </w:rPr>
        <w:t>完善法规，严格执法管理</w:t>
      </w:r>
      <w:r>
        <w:tab/>
      </w:r>
      <w:r>
        <w:fldChar w:fldCharType="begin"/>
      </w:r>
      <w:r>
        <w:instrText xml:space="preserve"> PAGEREF _Toc84536553 \h </w:instrText>
      </w:r>
      <w:r>
        <w:fldChar w:fldCharType="separate"/>
      </w:r>
      <w:r>
        <w:t>82</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"_Toc84536554" </w:instrText>
      </w:r>
      <w:r>
        <w:fldChar w:fldCharType="separate"/>
      </w:r>
      <w:r>
        <w:rPr>
          <w:rStyle w:val="33"/>
        </w:rPr>
        <w:t xml:space="preserve">5.2 </w:t>
      </w:r>
      <w:r>
        <w:rPr>
          <w:rStyle w:val="33"/>
          <w:rFonts w:hint="eastAsia"/>
        </w:rPr>
        <w:t>实施环境经济激励引导</w:t>
      </w:r>
      <w:r>
        <w:tab/>
      </w:r>
      <w:r>
        <w:fldChar w:fldCharType="begin"/>
      </w:r>
      <w:r>
        <w:instrText xml:space="preserve"> PAGEREF _Toc84536554 \h </w:instrText>
      </w:r>
      <w:r>
        <w:fldChar w:fldCharType="separate"/>
      </w:r>
      <w:r>
        <w:t>82</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"_Toc84536555" </w:instrText>
      </w:r>
      <w:r>
        <w:fldChar w:fldCharType="separate"/>
      </w:r>
      <w:r>
        <w:rPr>
          <w:rStyle w:val="33"/>
        </w:rPr>
        <w:t xml:space="preserve">5.3 </w:t>
      </w:r>
      <w:r>
        <w:rPr>
          <w:rStyle w:val="33"/>
          <w:rFonts w:hint="eastAsia"/>
        </w:rPr>
        <w:t>加强生态环境监测评估与管理</w:t>
      </w:r>
      <w:r>
        <w:tab/>
      </w:r>
      <w:r>
        <w:fldChar w:fldCharType="begin"/>
      </w:r>
      <w:r>
        <w:instrText xml:space="preserve"> PAGEREF _Toc84536555 \h </w:instrText>
      </w:r>
      <w:r>
        <w:fldChar w:fldCharType="separate"/>
      </w:r>
      <w:r>
        <w:t>83</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"_Toc84536556" </w:instrText>
      </w:r>
      <w:r>
        <w:fldChar w:fldCharType="separate"/>
      </w:r>
      <w:r>
        <w:rPr>
          <w:rStyle w:val="33"/>
        </w:rPr>
        <w:t xml:space="preserve">5.4 </w:t>
      </w:r>
      <w:r>
        <w:rPr>
          <w:rStyle w:val="33"/>
          <w:rFonts w:hint="eastAsia"/>
        </w:rPr>
        <w:t>建立</w:t>
      </w:r>
      <w:r>
        <w:rPr>
          <w:rStyle w:val="33"/>
        </w:rPr>
        <w:t>“</w:t>
      </w:r>
      <w:r>
        <w:rPr>
          <w:rStyle w:val="33"/>
          <w:rFonts w:hint="eastAsia"/>
        </w:rPr>
        <w:t>决策者－科学家－公众</w:t>
      </w:r>
      <w:r>
        <w:rPr>
          <w:rStyle w:val="33"/>
        </w:rPr>
        <w:t>”</w:t>
      </w:r>
      <w:r>
        <w:rPr>
          <w:rStyle w:val="33"/>
          <w:rFonts w:hint="eastAsia"/>
        </w:rPr>
        <w:t>三位一体的治河队伍</w:t>
      </w:r>
      <w:r>
        <w:tab/>
      </w:r>
      <w:r>
        <w:fldChar w:fldCharType="begin"/>
      </w:r>
      <w:r>
        <w:instrText xml:space="preserve"> PAGEREF _Toc84536556 \h </w:instrText>
      </w:r>
      <w:r>
        <w:fldChar w:fldCharType="separate"/>
      </w:r>
      <w:r>
        <w:t>84</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"_Toc84536557" </w:instrText>
      </w:r>
      <w:r>
        <w:fldChar w:fldCharType="separate"/>
      </w:r>
      <w:r>
        <w:rPr>
          <w:rStyle w:val="33"/>
        </w:rPr>
        <w:t xml:space="preserve">5.5 </w:t>
      </w:r>
      <w:r>
        <w:rPr>
          <w:rStyle w:val="33"/>
          <w:rFonts w:hint="eastAsia"/>
        </w:rPr>
        <w:t>强化节水型社会建设</w:t>
      </w:r>
      <w:r>
        <w:tab/>
      </w:r>
      <w:r>
        <w:fldChar w:fldCharType="begin"/>
      </w:r>
      <w:r>
        <w:instrText xml:space="preserve"> PAGEREF _Toc84536557 \h </w:instrText>
      </w:r>
      <w:r>
        <w:fldChar w:fldCharType="separate"/>
      </w:r>
      <w:r>
        <w:t>85</w:t>
      </w:r>
      <w:r>
        <w:fldChar w:fldCharType="end"/>
      </w:r>
      <w:r>
        <w:fldChar w:fldCharType="end"/>
      </w:r>
    </w:p>
    <w:p>
      <w:pPr>
        <w:pStyle w:val="20"/>
        <w:tabs>
          <w:tab w:val="right" w:leader="dot" w:pos="9062"/>
        </w:tabs>
        <w:rPr>
          <w:rFonts w:asciiTheme="minorHAnsi" w:hAnsiTheme="minorHAnsi" w:eastAsiaTheme="minorEastAsia" w:cstheme="minorBidi"/>
          <w:b w:val="0"/>
          <w:sz w:val="21"/>
          <w:szCs w:val="22"/>
        </w:rPr>
      </w:pPr>
      <w:r>
        <w:fldChar w:fldCharType="begin"/>
      </w:r>
      <w:r>
        <w:instrText xml:space="preserve"> HYPERLINK \l "_Toc84536558" </w:instrText>
      </w:r>
      <w:r>
        <w:fldChar w:fldCharType="separate"/>
      </w:r>
      <w:r>
        <w:rPr>
          <w:rStyle w:val="33"/>
        </w:rPr>
        <w:t xml:space="preserve">6 </w:t>
      </w:r>
      <w:r>
        <w:rPr>
          <w:rStyle w:val="33"/>
          <w:rFonts w:hint="eastAsia"/>
        </w:rPr>
        <w:t>投资估算与资金筹措</w:t>
      </w:r>
      <w:r>
        <w:tab/>
      </w:r>
      <w:r>
        <w:fldChar w:fldCharType="begin"/>
      </w:r>
      <w:r>
        <w:instrText xml:space="preserve"> PAGEREF _Toc84536558 \h </w:instrText>
      </w:r>
      <w:r>
        <w:fldChar w:fldCharType="separate"/>
      </w:r>
      <w:r>
        <w:t>87</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"_Toc84536559" </w:instrText>
      </w:r>
      <w:r>
        <w:fldChar w:fldCharType="separate"/>
      </w:r>
      <w:r>
        <w:rPr>
          <w:rStyle w:val="33"/>
        </w:rPr>
        <w:t xml:space="preserve">6.1 </w:t>
      </w:r>
      <w:r>
        <w:rPr>
          <w:rStyle w:val="33"/>
          <w:rFonts w:hint="eastAsia" w:asciiTheme="minorEastAsia" w:hAnsiTheme="minorEastAsia"/>
        </w:rPr>
        <w:t>投资估算</w:t>
      </w:r>
      <w:r>
        <w:tab/>
      </w:r>
      <w:r>
        <w:fldChar w:fldCharType="begin"/>
      </w:r>
      <w:r>
        <w:instrText xml:space="preserve"> PAGEREF _Toc84536559 \h </w:instrText>
      </w:r>
      <w:r>
        <w:fldChar w:fldCharType="separate"/>
      </w:r>
      <w:r>
        <w:t>87</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"_Toc84536560" </w:instrText>
      </w:r>
      <w:r>
        <w:fldChar w:fldCharType="separate"/>
      </w:r>
      <w:r>
        <w:rPr>
          <w:rStyle w:val="33"/>
        </w:rPr>
        <w:t xml:space="preserve">6.2 </w:t>
      </w:r>
      <w:r>
        <w:rPr>
          <w:rStyle w:val="33"/>
          <w:rFonts w:hint="eastAsia" w:asciiTheme="minorEastAsia" w:hAnsiTheme="minorEastAsia"/>
        </w:rPr>
        <w:t>资金筹措</w:t>
      </w:r>
      <w:r>
        <w:tab/>
      </w:r>
      <w:r>
        <w:fldChar w:fldCharType="begin"/>
      </w:r>
      <w:r>
        <w:instrText xml:space="preserve"> PAGEREF _Toc84536560 \h </w:instrText>
      </w:r>
      <w:r>
        <w:fldChar w:fldCharType="separate"/>
      </w:r>
      <w:r>
        <w:t>89</w:t>
      </w:r>
      <w:r>
        <w:fldChar w:fldCharType="end"/>
      </w:r>
      <w:r>
        <w:fldChar w:fldCharType="end"/>
      </w:r>
    </w:p>
    <w:p>
      <w:pPr>
        <w:pStyle w:val="20"/>
        <w:tabs>
          <w:tab w:val="right" w:leader="dot" w:pos="9062"/>
        </w:tabs>
        <w:rPr>
          <w:rFonts w:asciiTheme="minorHAnsi" w:hAnsiTheme="minorHAnsi" w:eastAsiaTheme="minorEastAsia" w:cstheme="minorBidi"/>
          <w:b w:val="0"/>
          <w:sz w:val="21"/>
          <w:szCs w:val="22"/>
        </w:rPr>
      </w:pPr>
      <w:r>
        <w:fldChar w:fldCharType="begin"/>
      </w:r>
      <w:r>
        <w:instrText xml:space="preserve"> HYPERLINK \l "_Toc84536561" </w:instrText>
      </w:r>
      <w:r>
        <w:fldChar w:fldCharType="separate"/>
      </w:r>
      <w:r>
        <w:rPr>
          <w:rStyle w:val="33"/>
        </w:rPr>
        <w:t xml:space="preserve">7 </w:t>
      </w:r>
      <w:r>
        <w:rPr>
          <w:rStyle w:val="33"/>
          <w:rFonts w:hint="eastAsia"/>
        </w:rPr>
        <w:t>工程效益及目标可达性分析</w:t>
      </w:r>
      <w:r>
        <w:tab/>
      </w:r>
      <w:r>
        <w:fldChar w:fldCharType="begin"/>
      </w:r>
      <w:r>
        <w:instrText xml:space="preserve"> PAGEREF _Toc84536561 \h </w:instrText>
      </w:r>
      <w:r>
        <w:fldChar w:fldCharType="separate"/>
      </w:r>
      <w:r>
        <w:t>90</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"_Toc84536562" </w:instrText>
      </w:r>
      <w:r>
        <w:fldChar w:fldCharType="separate"/>
      </w:r>
      <w:r>
        <w:rPr>
          <w:rStyle w:val="33"/>
        </w:rPr>
        <w:t xml:space="preserve">7.1 </w:t>
      </w:r>
      <w:r>
        <w:rPr>
          <w:rStyle w:val="33"/>
          <w:rFonts w:hint="eastAsia" w:asciiTheme="minorEastAsia" w:hAnsiTheme="minorEastAsia"/>
        </w:rPr>
        <w:t>工程效益分析</w:t>
      </w:r>
      <w:r>
        <w:tab/>
      </w:r>
      <w:r>
        <w:fldChar w:fldCharType="begin"/>
      </w:r>
      <w:r>
        <w:instrText xml:space="preserve"> PAGEREF _Toc84536562 \h </w:instrText>
      </w:r>
      <w:r>
        <w:fldChar w:fldCharType="separate"/>
      </w:r>
      <w:r>
        <w:t>90</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"_Toc84536563" </w:instrText>
      </w:r>
      <w:r>
        <w:fldChar w:fldCharType="separate"/>
      </w:r>
      <w:r>
        <w:rPr>
          <w:rStyle w:val="33"/>
        </w:rPr>
        <w:t xml:space="preserve">7.1.1 </w:t>
      </w:r>
      <w:r>
        <w:rPr>
          <w:rStyle w:val="33"/>
          <w:rFonts w:hint="eastAsia"/>
        </w:rPr>
        <w:t>环境效益</w:t>
      </w:r>
      <w:r>
        <w:tab/>
      </w:r>
      <w:r>
        <w:fldChar w:fldCharType="begin"/>
      </w:r>
      <w:r>
        <w:instrText xml:space="preserve"> PAGEREF _Toc84536563 \h </w:instrText>
      </w:r>
      <w:r>
        <w:fldChar w:fldCharType="separate"/>
      </w:r>
      <w:r>
        <w:t>90</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"_Toc84536564" </w:instrText>
      </w:r>
      <w:r>
        <w:fldChar w:fldCharType="separate"/>
      </w:r>
      <w:r>
        <w:rPr>
          <w:rStyle w:val="33"/>
        </w:rPr>
        <w:t xml:space="preserve">7.1.2 </w:t>
      </w:r>
      <w:r>
        <w:rPr>
          <w:rStyle w:val="33"/>
          <w:rFonts w:hint="eastAsia"/>
        </w:rPr>
        <w:t>经济效益</w:t>
      </w:r>
      <w:r>
        <w:tab/>
      </w:r>
      <w:r>
        <w:fldChar w:fldCharType="begin"/>
      </w:r>
      <w:r>
        <w:instrText xml:space="preserve"> PAGEREF _Toc84536564 \h </w:instrText>
      </w:r>
      <w:r>
        <w:fldChar w:fldCharType="separate"/>
      </w:r>
      <w:r>
        <w:t>90</w:t>
      </w:r>
      <w:r>
        <w:fldChar w:fldCharType="end"/>
      </w:r>
      <w:r>
        <w:fldChar w:fldCharType="end"/>
      </w:r>
    </w:p>
    <w:p>
      <w:pPr>
        <w:pStyle w:val="16"/>
        <w:tabs>
          <w:tab w:val="right" w:leader="dot" w:pos="9062"/>
        </w:tabs>
        <w:rPr>
          <w:rFonts w:asciiTheme="minorHAnsi" w:hAnsiTheme="minorHAnsi" w:eastAsiaTheme="minorEastAsia" w:cstheme="minorBidi"/>
          <w:sz w:val="21"/>
          <w:szCs w:val="22"/>
        </w:rPr>
      </w:pPr>
      <w:r>
        <w:fldChar w:fldCharType="begin"/>
      </w:r>
      <w:r>
        <w:instrText xml:space="preserve"> HYPERLINK \l "_Toc84536565" </w:instrText>
      </w:r>
      <w:r>
        <w:fldChar w:fldCharType="separate"/>
      </w:r>
      <w:r>
        <w:rPr>
          <w:rStyle w:val="33"/>
        </w:rPr>
        <w:t xml:space="preserve">7.1.3 </w:t>
      </w:r>
      <w:r>
        <w:rPr>
          <w:rStyle w:val="33"/>
          <w:rFonts w:hint="eastAsia"/>
        </w:rPr>
        <w:t>社会效益</w:t>
      </w:r>
      <w:r>
        <w:tab/>
      </w:r>
      <w:r>
        <w:fldChar w:fldCharType="begin"/>
      </w:r>
      <w:r>
        <w:instrText xml:space="preserve"> PAGEREF _Toc84536565 \h </w:instrText>
      </w:r>
      <w:r>
        <w:fldChar w:fldCharType="separate"/>
      </w:r>
      <w:r>
        <w:t>90</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"_Toc84536566" </w:instrText>
      </w:r>
      <w:r>
        <w:fldChar w:fldCharType="separate"/>
      </w:r>
      <w:r>
        <w:rPr>
          <w:rStyle w:val="33"/>
        </w:rPr>
        <w:t xml:space="preserve">7.2 </w:t>
      </w:r>
      <w:r>
        <w:rPr>
          <w:rStyle w:val="33"/>
          <w:rFonts w:hint="eastAsia"/>
        </w:rPr>
        <w:t>水生态环境</w:t>
      </w:r>
      <w:r>
        <w:rPr>
          <w:rStyle w:val="33"/>
          <w:rFonts w:hint="eastAsia" w:asciiTheme="minorEastAsia" w:hAnsiTheme="minorEastAsia"/>
        </w:rPr>
        <w:t>目标可达性分析</w:t>
      </w:r>
      <w:r>
        <w:tab/>
      </w:r>
      <w:r>
        <w:fldChar w:fldCharType="begin"/>
      </w:r>
      <w:r>
        <w:instrText xml:space="preserve"> PAGEREF _Toc84536566 \h </w:instrText>
      </w:r>
      <w:r>
        <w:fldChar w:fldCharType="separate"/>
      </w:r>
      <w:r>
        <w:t>91</w:t>
      </w:r>
      <w:r>
        <w:fldChar w:fldCharType="end"/>
      </w:r>
      <w:r>
        <w:fldChar w:fldCharType="end"/>
      </w:r>
    </w:p>
    <w:p>
      <w:pPr>
        <w:pStyle w:val="20"/>
        <w:tabs>
          <w:tab w:val="right" w:leader="dot" w:pos="9062"/>
        </w:tabs>
        <w:rPr>
          <w:rFonts w:asciiTheme="minorHAnsi" w:hAnsiTheme="minorHAnsi" w:eastAsiaTheme="minorEastAsia" w:cstheme="minorBidi"/>
          <w:b w:val="0"/>
          <w:sz w:val="21"/>
          <w:szCs w:val="22"/>
        </w:rPr>
      </w:pPr>
      <w:r>
        <w:fldChar w:fldCharType="begin"/>
      </w:r>
      <w:r>
        <w:instrText xml:space="preserve"> HYPERLINK \l "_Toc84536567" </w:instrText>
      </w:r>
      <w:r>
        <w:fldChar w:fldCharType="separate"/>
      </w:r>
      <w:r>
        <w:rPr>
          <w:rStyle w:val="33"/>
        </w:rPr>
        <w:t xml:space="preserve">8 </w:t>
      </w:r>
      <w:r>
        <w:rPr>
          <w:rStyle w:val="33"/>
          <w:rFonts w:hint="eastAsia"/>
        </w:rPr>
        <w:t>保障措施</w:t>
      </w:r>
      <w:r>
        <w:tab/>
      </w:r>
      <w:r>
        <w:fldChar w:fldCharType="begin"/>
      </w:r>
      <w:r>
        <w:instrText xml:space="preserve"> PAGEREF _Toc84536567 \h </w:instrText>
      </w:r>
      <w:r>
        <w:fldChar w:fldCharType="separate"/>
      </w:r>
      <w:r>
        <w:t>92</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"_Toc84536568" </w:instrText>
      </w:r>
      <w:r>
        <w:fldChar w:fldCharType="separate"/>
      </w:r>
      <w:r>
        <w:rPr>
          <w:rStyle w:val="33"/>
        </w:rPr>
        <w:t xml:space="preserve">8.1 </w:t>
      </w:r>
      <w:r>
        <w:rPr>
          <w:rStyle w:val="33"/>
          <w:rFonts w:hint="eastAsia" w:asciiTheme="minorEastAsia" w:hAnsiTheme="minorEastAsia"/>
        </w:rPr>
        <w:t>组织保障</w:t>
      </w:r>
      <w:r>
        <w:tab/>
      </w:r>
      <w:r>
        <w:fldChar w:fldCharType="begin"/>
      </w:r>
      <w:r>
        <w:instrText xml:space="preserve"> PAGEREF _Toc84536568 \h </w:instrText>
      </w:r>
      <w:r>
        <w:fldChar w:fldCharType="separate"/>
      </w:r>
      <w:r>
        <w:t>92</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"_Toc84536569" </w:instrText>
      </w:r>
      <w:r>
        <w:fldChar w:fldCharType="separate"/>
      </w:r>
      <w:r>
        <w:rPr>
          <w:rStyle w:val="33"/>
        </w:rPr>
        <w:t xml:space="preserve">8.2 </w:t>
      </w:r>
      <w:r>
        <w:rPr>
          <w:rStyle w:val="33"/>
          <w:rFonts w:hint="eastAsia" w:asciiTheme="minorEastAsia" w:hAnsiTheme="minorEastAsia"/>
        </w:rPr>
        <w:t>制度保障</w:t>
      </w:r>
      <w:r>
        <w:tab/>
      </w:r>
      <w:r>
        <w:fldChar w:fldCharType="begin"/>
      </w:r>
      <w:r>
        <w:instrText xml:space="preserve"> PAGEREF _Toc84536569 \h </w:instrText>
      </w:r>
      <w:r>
        <w:fldChar w:fldCharType="separate"/>
      </w:r>
      <w:r>
        <w:t>92</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"_Toc84536570" </w:instrText>
      </w:r>
      <w:r>
        <w:fldChar w:fldCharType="separate"/>
      </w:r>
      <w:r>
        <w:rPr>
          <w:rStyle w:val="33"/>
        </w:rPr>
        <w:t xml:space="preserve">8.3 </w:t>
      </w:r>
      <w:r>
        <w:rPr>
          <w:rStyle w:val="33"/>
          <w:rFonts w:hint="eastAsia" w:asciiTheme="minorEastAsia" w:hAnsiTheme="minorEastAsia"/>
        </w:rPr>
        <w:t>资金保障</w:t>
      </w:r>
      <w:r>
        <w:tab/>
      </w:r>
      <w:r>
        <w:fldChar w:fldCharType="begin"/>
      </w:r>
      <w:r>
        <w:instrText xml:space="preserve"> PAGEREF _Toc84536570 \h </w:instrText>
      </w:r>
      <w:r>
        <w:fldChar w:fldCharType="separate"/>
      </w:r>
      <w:r>
        <w:t>95</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"_Toc84536571" </w:instrText>
      </w:r>
      <w:r>
        <w:fldChar w:fldCharType="separate"/>
      </w:r>
      <w:r>
        <w:rPr>
          <w:rStyle w:val="33"/>
        </w:rPr>
        <w:t xml:space="preserve">8.4 </w:t>
      </w:r>
      <w:r>
        <w:rPr>
          <w:rStyle w:val="33"/>
          <w:rFonts w:hint="eastAsia" w:asciiTheme="minorEastAsia" w:hAnsiTheme="minorEastAsia"/>
        </w:rPr>
        <w:t>监督考核</w:t>
      </w:r>
      <w:r>
        <w:tab/>
      </w:r>
      <w:r>
        <w:fldChar w:fldCharType="begin"/>
      </w:r>
      <w:r>
        <w:instrText xml:space="preserve"> PAGEREF _Toc84536571 \h </w:instrText>
      </w:r>
      <w:r>
        <w:fldChar w:fldCharType="separate"/>
      </w:r>
      <w:r>
        <w:t>96</w:t>
      </w:r>
      <w:r>
        <w:fldChar w:fldCharType="end"/>
      </w:r>
      <w:r>
        <w:fldChar w:fldCharType="end"/>
      </w:r>
    </w:p>
    <w:p>
      <w:pPr>
        <w:pStyle w:val="23"/>
        <w:tabs>
          <w:tab w:val="right" w:leader="dot" w:pos="9062"/>
        </w:tabs>
        <w:rPr>
          <w:rFonts w:asciiTheme="minorHAnsi" w:hAnsiTheme="minorHAnsi" w:eastAsiaTheme="minorEastAsia" w:cstheme="minorBidi"/>
          <w:sz w:val="21"/>
          <w:szCs w:val="22"/>
        </w:rPr>
      </w:pPr>
      <w:r>
        <w:fldChar w:fldCharType="begin"/>
      </w:r>
      <w:r>
        <w:instrText xml:space="preserve"> HYPERLINK \l "_Toc84536572" </w:instrText>
      </w:r>
      <w:r>
        <w:fldChar w:fldCharType="separate"/>
      </w:r>
      <w:r>
        <w:rPr>
          <w:rStyle w:val="33"/>
        </w:rPr>
        <w:t xml:space="preserve">8.5 </w:t>
      </w:r>
      <w:r>
        <w:rPr>
          <w:rStyle w:val="33"/>
          <w:rFonts w:hint="eastAsia"/>
        </w:rPr>
        <w:t>宣传保障</w:t>
      </w:r>
      <w:r>
        <w:tab/>
      </w:r>
      <w:r>
        <w:fldChar w:fldCharType="begin"/>
      </w:r>
      <w:r>
        <w:instrText xml:space="preserve"> PAGEREF _Toc84536572 \h </w:instrText>
      </w:r>
      <w:r>
        <w:fldChar w:fldCharType="separate"/>
      </w:r>
      <w:r>
        <w:t>96</w:t>
      </w:r>
      <w:r>
        <w:fldChar w:fldCharType="end"/>
      </w:r>
      <w:r>
        <w:fldChar w:fldCharType="end"/>
      </w:r>
    </w:p>
    <w:p>
      <w:pPr>
        <w:widowControl/>
        <w:jc w:val="center"/>
        <w:rPr>
          <w:b/>
          <w:sz w:val="32"/>
          <w:szCs w:val="32"/>
        </w:rPr>
        <w:sectPr>
          <w:footerReference r:id="rId7" w:type="default"/>
          <w:pgSz w:w="11906" w:h="16838"/>
          <w:pgMar w:top="1417" w:right="1417" w:bottom="1417" w:left="1417" w:header="227" w:footer="1077" w:gutter="0"/>
          <w:pgNumType w:fmt="upperRoman" w:start="1" w:chapStyle="1"/>
          <w:cols w:space="0" w:num="1"/>
          <w:docGrid w:type="lines" w:linePitch="394" w:charSpace="0"/>
        </w:sectPr>
      </w:pPr>
      <w:r>
        <w:rPr>
          <w:b/>
          <w:sz w:val="36"/>
          <w:szCs w:val="36"/>
        </w:rPr>
        <w:fldChar w:fldCharType="end"/>
      </w:r>
    </w:p>
    <w:p>
      <w:pPr>
        <w:pStyle w:val="3"/>
        <w:spacing w:before="472" w:beforeLines="120" w:after="472" w:afterLines="120"/>
      </w:pPr>
      <w:bookmarkStart w:id="2" w:name="_Toc84536492"/>
      <w:r>
        <w:rPr>
          <w:rFonts w:hint="eastAsia"/>
        </w:rPr>
        <w:t>1 项目概况</w:t>
      </w:r>
      <w:bookmarkEnd w:id="2"/>
    </w:p>
    <w:p>
      <w:pPr>
        <w:pStyle w:val="4"/>
        <w:spacing w:before="394" w:after="394"/>
      </w:pPr>
      <w:bookmarkStart w:id="3" w:name="_Toc84536493"/>
      <w:r>
        <w:rPr>
          <w:rFonts w:hint="eastAsia"/>
        </w:rPr>
        <w:t xml:space="preserve">1.1 </w:t>
      </w:r>
      <w:r>
        <w:rPr>
          <w:rFonts w:hint="eastAsia" w:asciiTheme="minorEastAsia" w:hAnsiTheme="minorEastAsia" w:eastAsiaTheme="minorEastAsia"/>
        </w:rPr>
        <w:t>指导思想</w:t>
      </w:r>
      <w:bookmarkEnd w:id="3"/>
    </w:p>
    <w:p>
      <w:pPr>
        <w:spacing w:line="360" w:lineRule="auto"/>
        <w:ind w:firstLine="560" w:firstLineChars="200"/>
        <w:jc w:val="left"/>
        <w:rPr>
          <w:rFonts w:ascii="微软雅黑" w:hAnsi="微软雅黑"/>
          <w:color w:val="000000" w:themeColor="text1"/>
          <w:sz w:val="28"/>
          <w:szCs w:val="28"/>
          <w14:textFill>
            <w14:solidFill>
              <w14:schemeClr w14:val="tx1"/>
            </w14:solidFill>
          </w14:textFill>
        </w:rPr>
      </w:pPr>
      <w:r>
        <w:rPr>
          <w:rFonts w:ascii="微软雅黑" w:hAnsi="微软雅黑"/>
          <w:color w:val="000000" w:themeColor="text1"/>
          <w:sz w:val="28"/>
          <w:szCs w:val="28"/>
          <w14:textFill>
            <w14:solidFill>
              <w14:schemeClr w14:val="tx1"/>
            </w14:solidFill>
          </w14:textFill>
        </w:rPr>
        <w:t>以习近平新时代中国特色社会主义思想为指导，全面贯彻党的十九大和十九届二中、三中、四中</w:t>
      </w:r>
      <w:r>
        <w:rPr>
          <w:rFonts w:hint="eastAsia" w:ascii="微软雅黑" w:hAnsi="微软雅黑"/>
          <w:color w:val="000000" w:themeColor="text1"/>
          <w:sz w:val="28"/>
          <w:szCs w:val="28"/>
          <w14:textFill>
            <w14:solidFill>
              <w14:schemeClr w14:val="tx1"/>
            </w14:solidFill>
          </w14:textFill>
        </w:rPr>
        <w:t>、五中</w:t>
      </w:r>
      <w:r>
        <w:rPr>
          <w:rFonts w:ascii="微软雅黑" w:hAnsi="微软雅黑"/>
          <w:color w:val="000000" w:themeColor="text1"/>
          <w:sz w:val="28"/>
          <w:szCs w:val="28"/>
          <w14:textFill>
            <w14:solidFill>
              <w14:schemeClr w14:val="tx1"/>
            </w14:solidFill>
          </w14:textFill>
        </w:rPr>
        <w:t>全会精神，紧紧围绕统筹推进</w:t>
      </w:r>
      <w:r>
        <w:rPr>
          <w:rFonts w:hint="eastAsia" w:ascii="微软雅黑" w:hAnsi="微软雅黑"/>
          <w:color w:val="000000" w:themeColor="text1"/>
          <w:sz w:val="28"/>
          <w:szCs w:val="28"/>
          <w14:textFill>
            <w14:solidFill>
              <w14:schemeClr w14:val="tx1"/>
            </w14:solidFill>
          </w14:textFill>
        </w:rPr>
        <w:t>“</w:t>
      </w:r>
      <w:r>
        <w:rPr>
          <w:rFonts w:ascii="微软雅黑" w:hAnsi="微软雅黑"/>
          <w:color w:val="000000" w:themeColor="text1"/>
          <w:sz w:val="28"/>
          <w:szCs w:val="28"/>
          <w14:textFill>
            <w14:solidFill>
              <w14:schemeClr w14:val="tx1"/>
            </w14:solidFill>
          </w14:textFill>
        </w:rPr>
        <w:t>五位一体</w:t>
      </w:r>
      <w:r>
        <w:rPr>
          <w:rFonts w:hint="eastAsia" w:ascii="微软雅黑" w:hAnsi="微软雅黑"/>
          <w:color w:val="000000" w:themeColor="text1"/>
          <w:sz w:val="28"/>
          <w:szCs w:val="28"/>
          <w14:textFill>
            <w14:solidFill>
              <w14:schemeClr w14:val="tx1"/>
            </w14:solidFill>
          </w14:textFill>
        </w:rPr>
        <w:t>”</w:t>
      </w:r>
      <w:r>
        <w:rPr>
          <w:rFonts w:ascii="微软雅黑" w:hAnsi="微软雅黑"/>
          <w:color w:val="000000" w:themeColor="text1"/>
          <w:sz w:val="28"/>
          <w:szCs w:val="28"/>
          <w14:textFill>
            <w14:solidFill>
              <w14:schemeClr w14:val="tx1"/>
            </w14:solidFill>
          </w14:textFill>
        </w:rPr>
        <w:t>总体布局和协调推进</w:t>
      </w:r>
      <w:r>
        <w:rPr>
          <w:rFonts w:hint="eastAsia" w:ascii="微软雅黑" w:hAnsi="微软雅黑"/>
          <w:color w:val="000000" w:themeColor="text1"/>
          <w:sz w:val="28"/>
          <w:szCs w:val="28"/>
          <w14:textFill>
            <w14:solidFill>
              <w14:schemeClr w14:val="tx1"/>
            </w14:solidFill>
          </w14:textFill>
        </w:rPr>
        <w:t>“</w:t>
      </w:r>
      <w:r>
        <w:rPr>
          <w:rFonts w:ascii="微软雅黑" w:hAnsi="微软雅黑"/>
          <w:color w:val="000000" w:themeColor="text1"/>
          <w:sz w:val="28"/>
          <w:szCs w:val="28"/>
          <w14:textFill>
            <w14:solidFill>
              <w14:schemeClr w14:val="tx1"/>
            </w14:solidFill>
          </w14:textFill>
        </w:rPr>
        <w:t>四个全面</w:t>
      </w:r>
      <w:r>
        <w:rPr>
          <w:rFonts w:hint="eastAsia" w:ascii="微软雅黑" w:hAnsi="微软雅黑"/>
          <w:color w:val="000000" w:themeColor="text1"/>
          <w:sz w:val="28"/>
          <w:szCs w:val="28"/>
          <w14:textFill>
            <w14:solidFill>
              <w14:schemeClr w14:val="tx1"/>
            </w14:solidFill>
          </w14:textFill>
        </w:rPr>
        <w:t>”</w:t>
      </w:r>
      <w:r>
        <w:rPr>
          <w:rFonts w:ascii="微软雅黑" w:hAnsi="微软雅黑"/>
          <w:color w:val="000000" w:themeColor="text1"/>
          <w:sz w:val="28"/>
          <w:szCs w:val="28"/>
          <w14:textFill>
            <w14:solidFill>
              <w14:schemeClr w14:val="tx1"/>
            </w14:solidFill>
          </w14:textFill>
        </w:rPr>
        <w:t>战略布局，牢固树立和贯彻落实新发展理念，按照高质量发展要求，坚持以人民为中心，共抓大保护、不搞大开发，按照科学规划、突出保护，古为今用、强化传承，优化布局、合理利用的原则，把大运河保护好、传承好、利用好，将大运河宿州段打造成为继往开来的灿烂文化带、碧水青山的绿色生态带、古韵今风的精品旅游带。</w:t>
      </w:r>
    </w:p>
    <w:p>
      <w:pPr>
        <w:pStyle w:val="4"/>
        <w:spacing w:before="394" w:after="394"/>
        <w:rPr>
          <w:rFonts w:eastAsiaTheme="minorEastAsia"/>
        </w:rPr>
      </w:pPr>
      <w:bookmarkStart w:id="4" w:name="_Toc84536494"/>
      <w:r>
        <w:rPr>
          <w:rFonts w:hint="eastAsia"/>
        </w:rPr>
        <w:t xml:space="preserve">1.2 </w:t>
      </w:r>
      <w:r>
        <w:rPr>
          <w:rFonts w:hint="eastAsia" w:asciiTheme="minorEastAsia" w:hAnsiTheme="minorEastAsia" w:eastAsiaTheme="minorEastAsia"/>
        </w:rPr>
        <w:t>上位规划要求</w:t>
      </w:r>
      <w:bookmarkEnd w:id="4"/>
    </w:p>
    <w:p>
      <w:pPr>
        <w:spacing w:line="360" w:lineRule="auto"/>
        <w:ind w:firstLine="560" w:firstLineChars="200"/>
        <w:rPr>
          <w:rFonts w:eastAsiaTheme="minorEastAsia"/>
          <w:color w:val="000000" w:themeColor="text1"/>
          <w:sz w:val="28"/>
          <w:szCs w:val="28"/>
          <w:lang w:val="en"/>
          <w14:textFill>
            <w14:solidFill>
              <w14:schemeClr w14:val="tx1"/>
            </w14:solidFill>
          </w14:textFill>
        </w:rPr>
      </w:pPr>
      <w:r>
        <w:rPr>
          <w:rFonts w:hint="eastAsia" w:ascii="微软雅黑" w:hAnsi="微软雅黑"/>
          <w:color w:val="000000" w:themeColor="text1"/>
          <w:sz w:val="28"/>
          <w:szCs w:val="28"/>
          <w14:textFill>
            <w14:solidFill>
              <w14:schemeClr w14:val="tx1"/>
            </w14:solidFill>
          </w14:textFill>
        </w:rPr>
        <w:t>根据中共中央办公厅、国务院办公厅印发的《大运河文化保护传承利用规划纲要》以及中共安徽省委办公厅、安徽省人民政府办公厅印发的关于印发《安徽省大运河文化保护传承利用实施规划》的要求，</w:t>
      </w:r>
      <w:r>
        <w:rPr>
          <w:rFonts w:hint="eastAsia" w:ascii="楷体_GB2312" w:hAnsi="楷体_GB2312" w:eastAsia="楷体_GB2312" w:cs="楷体_GB2312"/>
          <w:b/>
          <w:bCs/>
          <w:color w:val="000000" w:themeColor="text1"/>
          <w:sz w:val="28"/>
          <w:szCs w:val="28"/>
          <w14:textFill>
            <w14:solidFill>
              <w14:schemeClr w14:val="tx1"/>
            </w14:solidFill>
          </w14:textFill>
        </w:rPr>
        <w:t>在保护滨河生态系统、各类文化和自然遗产、人文景观风貌原真性、完整性基础上，实施国土绿化行动，补齐生态环境短板，在大运河文化带的主轴与具备条</w:t>
      </w:r>
      <w:r>
        <w:rPr>
          <w:rFonts w:hint="eastAsia" w:ascii="楷体_GB2312" w:hAnsi="楷体_GB2312" w:eastAsia="楷体_GB2312" w:cs="楷体_GB2312"/>
          <w:b/>
          <w:bCs/>
          <w:color w:val="000000" w:themeColor="text1"/>
          <w:sz w:val="28"/>
          <w:szCs w:val="28"/>
          <w:lang w:val="en"/>
          <w14:textFill>
            <w14:solidFill>
              <w14:schemeClr w14:val="tx1"/>
            </w14:solidFill>
          </w14:textFill>
        </w:rPr>
        <w:t>件的其他有水河段两岸建设绿色生态廊道，加强生态空间管控，推进生态保护修复和区域环境综合治理，打造水清岸绿的绿色生态带</w:t>
      </w:r>
      <w:r>
        <w:rPr>
          <w:rFonts w:hint="eastAsia" w:eastAsiaTheme="minorEastAsia"/>
          <w:color w:val="000000" w:themeColor="text1"/>
          <w:sz w:val="28"/>
          <w:szCs w:val="28"/>
          <w:lang w:val="en"/>
          <w14:textFill>
            <w14:solidFill>
              <w14:schemeClr w14:val="tx1"/>
            </w14:solidFill>
          </w14:textFill>
        </w:rPr>
        <w:t>。具体内容见表1-1、表1-2。</w:t>
      </w:r>
    </w:p>
    <w:p>
      <w:pPr>
        <w:spacing w:line="360" w:lineRule="auto"/>
        <w:ind w:firstLine="560" w:firstLineChars="200"/>
        <w:rPr>
          <w:rFonts w:ascii="微软雅黑" w:hAnsi="微软雅黑"/>
          <w:color w:val="000000" w:themeColor="text1"/>
          <w:sz w:val="28"/>
          <w:szCs w:val="28"/>
          <w14:textFill>
            <w14:solidFill>
              <w14:schemeClr w14:val="tx1"/>
            </w14:solidFill>
          </w14:textFill>
        </w:rPr>
      </w:pPr>
      <w:r>
        <w:rPr>
          <w:rFonts w:hint="eastAsia" w:ascii="微软雅黑" w:hAnsi="微软雅黑"/>
          <w:color w:val="000000" w:themeColor="text1"/>
          <w:sz w:val="28"/>
          <w:szCs w:val="28"/>
          <w14:textFill>
            <w14:solidFill>
              <w14:schemeClr w14:val="tx1"/>
            </w14:solidFill>
          </w14:textFill>
        </w:rPr>
        <w:t>本方案为了响应中共中央办公厅、国务院办公厅及中共安徽省委办公厅、安徽省人民政府办公厅的规划要求，对大运河宿州段进行生态环境保护修复，主要包括以下几个方面。</w:t>
      </w:r>
    </w:p>
    <w:p>
      <w:pPr>
        <w:spacing w:line="360" w:lineRule="auto"/>
        <w:ind w:firstLine="560" w:firstLineChars="200"/>
        <w:rPr>
          <w:sz w:val="28"/>
          <w:szCs w:val="28"/>
        </w:rPr>
      </w:pPr>
      <w:r>
        <w:rPr>
          <w:rFonts w:hint="eastAsia" w:eastAsiaTheme="minorEastAsia"/>
          <w:color w:val="000000" w:themeColor="text1"/>
          <w:sz w:val="28"/>
          <w:szCs w:val="28"/>
          <w14:textFill>
            <w14:solidFill>
              <w14:schemeClr w14:val="tx1"/>
            </w14:solidFill>
          </w14:textFill>
        </w:rPr>
        <w:t>（1）</w:t>
      </w:r>
      <w:r>
        <w:rPr>
          <w:sz w:val="28"/>
          <w:szCs w:val="28"/>
        </w:rPr>
        <w:t>在严格保护耕地的基础上，</w:t>
      </w:r>
      <w:r>
        <w:rPr>
          <w:b/>
          <w:bCs/>
          <w:sz w:val="28"/>
          <w:szCs w:val="28"/>
        </w:rPr>
        <w:t>实施滨河防护林生态屏障建设</w:t>
      </w:r>
      <w:r>
        <w:rPr>
          <w:rFonts w:hint="eastAsia"/>
          <w:sz w:val="28"/>
          <w:szCs w:val="28"/>
        </w:rPr>
        <w:t>。对大运河有水河道两岸</w:t>
      </w:r>
      <w:r>
        <w:rPr>
          <w:sz w:val="28"/>
          <w:szCs w:val="28"/>
        </w:rPr>
        <w:t>进行植被</w:t>
      </w:r>
      <w:r>
        <w:rPr>
          <w:rFonts w:hint="eastAsia"/>
          <w:sz w:val="28"/>
          <w:szCs w:val="28"/>
        </w:rPr>
        <w:t>恢复，</w:t>
      </w:r>
      <w:r>
        <w:rPr>
          <w:sz w:val="28"/>
          <w:szCs w:val="28"/>
        </w:rPr>
        <w:t>提高植被覆盖率</w:t>
      </w:r>
      <w:r>
        <w:rPr>
          <w:rFonts w:hint="eastAsia"/>
          <w:sz w:val="28"/>
          <w:szCs w:val="28"/>
        </w:rPr>
        <w:t>，</w:t>
      </w:r>
      <w:r>
        <w:rPr>
          <w:rFonts w:hint="eastAsia" w:ascii="宋体" w:hAnsi="宋体"/>
          <w:sz w:val="28"/>
          <w:szCs w:val="28"/>
        </w:rPr>
        <w:t>并</w:t>
      </w:r>
      <w:r>
        <w:rPr>
          <w:rFonts w:ascii="宋体" w:hAnsi="宋体"/>
          <w:sz w:val="28"/>
          <w:szCs w:val="28"/>
        </w:rPr>
        <w:t>取缔</w:t>
      </w:r>
      <w:r>
        <w:rPr>
          <w:rFonts w:hint="eastAsia" w:ascii="宋体" w:hAnsi="宋体"/>
          <w:sz w:val="28"/>
          <w:szCs w:val="28"/>
        </w:rPr>
        <w:t>河岸周边及入河支流</w:t>
      </w:r>
      <w:r>
        <w:rPr>
          <w:rFonts w:ascii="宋体" w:hAnsi="宋体"/>
          <w:sz w:val="28"/>
          <w:szCs w:val="28"/>
        </w:rPr>
        <w:t>沿岸菜地</w:t>
      </w:r>
      <w:r>
        <w:rPr>
          <w:rFonts w:hint="eastAsia" w:ascii="宋体" w:hAnsi="宋体"/>
          <w:sz w:val="28"/>
          <w:szCs w:val="28"/>
        </w:rPr>
        <w:t>；</w:t>
      </w:r>
      <w:r>
        <w:rPr>
          <w:sz w:val="28"/>
          <w:szCs w:val="28"/>
        </w:rPr>
        <w:t>大力发展生态农业，做到农作物秸秆</w:t>
      </w:r>
      <w:r>
        <w:rPr>
          <w:rFonts w:hint="eastAsia"/>
          <w:sz w:val="28"/>
          <w:szCs w:val="28"/>
        </w:rPr>
        <w:t>离</w:t>
      </w:r>
      <w:r>
        <w:rPr>
          <w:sz w:val="28"/>
          <w:szCs w:val="28"/>
        </w:rPr>
        <w:t>田，科学使用农药、化肥，推广高效、低毒农药并控制使用量</w:t>
      </w:r>
      <w:r>
        <w:rPr>
          <w:rFonts w:hint="eastAsia"/>
          <w:sz w:val="28"/>
          <w:szCs w:val="28"/>
        </w:rPr>
        <w:t>；对</w:t>
      </w:r>
      <w:r>
        <w:rPr>
          <w:sz w:val="28"/>
          <w:szCs w:val="28"/>
        </w:rPr>
        <w:t>大运河泗县段沿河裸露土地区域</w:t>
      </w:r>
      <w:r>
        <w:rPr>
          <w:rFonts w:hint="eastAsia"/>
          <w:sz w:val="28"/>
          <w:szCs w:val="28"/>
        </w:rPr>
        <w:t>进行护岸绿化建设。</w:t>
      </w:r>
    </w:p>
    <w:p>
      <w:pPr>
        <w:spacing w:line="360" w:lineRule="auto"/>
        <w:ind w:firstLine="560" w:firstLineChars="200"/>
        <w:rPr>
          <w:sz w:val="28"/>
          <w:szCs w:val="28"/>
        </w:rPr>
      </w:pPr>
      <w:r>
        <w:rPr>
          <w:rFonts w:hint="eastAsia"/>
          <w:sz w:val="28"/>
          <w:szCs w:val="28"/>
        </w:rPr>
        <w:t>（2）</w:t>
      </w:r>
      <w:r>
        <w:rPr>
          <w:rFonts w:hint="eastAsia"/>
          <w:b/>
          <w:bCs/>
          <w:sz w:val="28"/>
          <w:szCs w:val="28"/>
        </w:rPr>
        <w:t>对大运河宿州段核心区国土空间进行管控</w:t>
      </w:r>
      <w:r>
        <w:rPr>
          <w:rFonts w:hint="eastAsia"/>
          <w:sz w:val="28"/>
          <w:szCs w:val="28"/>
        </w:rPr>
        <w:t>。</w:t>
      </w:r>
      <w:r>
        <w:rPr>
          <w:sz w:val="28"/>
          <w:szCs w:val="28"/>
        </w:rPr>
        <w:t>严格自然生态环境和传统历史风貌保护，突出世界文化遗产保护。</w:t>
      </w:r>
      <w:r>
        <w:rPr>
          <w:rFonts w:hint="eastAsia"/>
          <w:sz w:val="28"/>
          <w:szCs w:val="28"/>
        </w:rPr>
        <w:t>对文化遗产区、生态保护红线区、永久基本农田保护区、规划建设区、非建设区、建设区提出相应的管控措施。</w:t>
      </w:r>
    </w:p>
    <w:p>
      <w:pPr>
        <w:spacing w:line="360" w:lineRule="auto"/>
        <w:ind w:firstLine="560" w:firstLineChars="200"/>
        <w:rPr>
          <w:sz w:val="28"/>
          <w:szCs w:val="28"/>
        </w:rPr>
      </w:pPr>
      <w:r>
        <w:rPr>
          <w:rFonts w:hint="eastAsia"/>
          <w:sz w:val="28"/>
          <w:szCs w:val="28"/>
        </w:rPr>
        <w:t>（3）</w:t>
      </w:r>
      <w:r>
        <w:rPr>
          <w:rFonts w:hint="eastAsia"/>
          <w:b/>
          <w:bCs/>
          <w:sz w:val="28"/>
          <w:szCs w:val="28"/>
        </w:rPr>
        <w:t>对大运河宿州段沿岸重要生态空间进行保护修复</w:t>
      </w:r>
      <w:r>
        <w:rPr>
          <w:rFonts w:hint="eastAsia"/>
          <w:sz w:val="28"/>
          <w:szCs w:val="28"/>
        </w:rPr>
        <w:t>。</w:t>
      </w:r>
      <w:r>
        <w:rPr>
          <w:sz w:val="28"/>
          <w:szCs w:val="28"/>
        </w:rPr>
        <w:t>依托古运河</w:t>
      </w:r>
      <w:r>
        <w:rPr>
          <w:rFonts w:hint="eastAsia"/>
          <w:sz w:val="28"/>
          <w:szCs w:val="28"/>
        </w:rPr>
        <w:t>，建设泗县运河中央公园；建设泗县运河城市森林公园，</w:t>
      </w:r>
      <w:r>
        <w:rPr>
          <w:sz w:val="28"/>
          <w:szCs w:val="28"/>
        </w:rPr>
        <w:t>并实施沟渠改造、原道路提升和配套管理用房及其他附属设施建设</w:t>
      </w:r>
      <w:r>
        <w:rPr>
          <w:rFonts w:hint="eastAsia"/>
          <w:sz w:val="28"/>
          <w:szCs w:val="28"/>
        </w:rPr>
        <w:t>；</w:t>
      </w:r>
      <w:r>
        <w:rPr>
          <w:sz w:val="28"/>
          <w:szCs w:val="28"/>
        </w:rPr>
        <w:t>围绕大运河泗县遗址文化，加强环境整治和绿化美化，运河文化带保护传承利用与修复，规划建设大运河遗址公园</w:t>
      </w:r>
      <w:r>
        <w:rPr>
          <w:rFonts w:hint="eastAsia"/>
          <w:sz w:val="28"/>
          <w:szCs w:val="28"/>
        </w:rPr>
        <w:t>；对</w:t>
      </w:r>
      <w:r>
        <w:rPr>
          <w:sz w:val="28"/>
          <w:szCs w:val="28"/>
        </w:rPr>
        <w:t>石龙湖流域</w:t>
      </w:r>
      <w:r>
        <w:rPr>
          <w:rFonts w:hint="eastAsia"/>
          <w:sz w:val="28"/>
          <w:szCs w:val="28"/>
        </w:rPr>
        <w:t>进行</w:t>
      </w:r>
      <w:r>
        <w:rPr>
          <w:sz w:val="28"/>
          <w:szCs w:val="28"/>
        </w:rPr>
        <w:t>综合治理</w:t>
      </w:r>
      <w:r>
        <w:rPr>
          <w:rFonts w:hint="eastAsia"/>
          <w:sz w:val="28"/>
          <w:szCs w:val="28"/>
        </w:rPr>
        <w:t>。</w:t>
      </w:r>
    </w:p>
    <w:p>
      <w:pPr>
        <w:spacing w:line="360" w:lineRule="auto"/>
        <w:ind w:firstLine="560" w:firstLineChars="200"/>
        <w:rPr>
          <w:sz w:val="28"/>
          <w:szCs w:val="28"/>
        </w:rPr>
      </w:pPr>
      <w:r>
        <w:rPr>
          <w:rFonts w:hint="eastAsia"/>
          <w:sz w:val="28"/>
          <w:szCs w:val="28"/>
        </w:rPr>
        <w:t>（4）</w:t>
      </w:r>
      <w:r>
        <w:rPr>
          <w:rFonts w:hint="eastAsia"/>
          <w:b/>
          <w:bCs/>
          <w:sz w:val="28"/>
          <w:szCs w:val="28"/>
        </w:rPr>
        <w:t>对大运河宿州段周边河湖进行生态环境治理</w:t>
      </w:r>
      <w:r>
        <w:rPr>
          <w:rFonts w:hint="eastAsia"/>
          <w:sz w:val="28"/>
          <w:szCs w:val="28"/>
        </w:rPr>
        <w:t>。包括对石梁河的生态修复以及大中小沟的清淤疏浚；对朱仙庄采煤沉陷区进行综合治理；对新汴河沿线进行提升改造；</w:t>
      </w:r>
      <w:r>
        <w:rPr>
          <w:color w:val="000000"/>
          <w:kern w:val="0"/>
          <w:sz w:val="28"/>
          <w:szCs w:val="28"/>
        </w:rPr>
        <w:t>对泗县运河段全线47 km进行保护、</w:t>
      </w:r>
      <w:r>
        <w:rPr>
          <w:sz w:val="28"/>
          <w:szCs w:val="28"/>
        </w:rPr>
        <w:t>展示性利用和环境治理</w:t>
      </w:r>
      <w:r>
        <w:rPr>
          <w:rFonts w:hint="eastAsia"/>
          <w:sz w:val="28"/>
          <w:szCs w:val="28"/>
        </w:rPr>
        <w:t>；对</w:t>
      </w:r>
      <w:r>
        <w:rPr>
          <w:sz w:val="28"/>
          <w:szCs w:val="28"/>
        </w:rPr>
        <w:t>泗县西古汴河截污清淤、疏浚、生态修复</w:t>
      </w:r>
      <w:r>
        <w:rPr>
          <w:rFonts w:hint="eastAsia"/>
          <w:sz w:val="28"/>
          <w:szCs w:val="28"/>
        </w:rPr>
        <w:t>。</w:t>
      </w:r>
    </w:p>
    <w:p>
      <w:pPr>
        <w:spacing w:line="360" w:lineRule="auto"/>
        <w:ind w:firstLine="560" w:firstLineChars="200"/>
        <w:rPr>
          <w:rFonts w:eastAsiaTheme="minorEastAsia"/>
          <w:sz w:val="28"/>
          <w:szCs w:val="28"/>
        </w:rPr>
      </w:pPr>
      <w:r>
        <w:rPr>
          <w:rFonts w:hint="eastAsia" w:eastAsiaTheme="minorEastAsia"/>
          <w:sz w:val="28"/>
          <w:szCs w:val="28"/>
        </w:rPr>
        <w:t>（5）</w:t>
      </w:r>
      <w:r>
        <w:rPr>
          <w:rFonts w:eastAsiaTheme="minorEastAsia"/>
          <w:b/>
          <w:bCs/>
          <w:sz w:val="28"/>
          <w:szCs w:val="28"/>
        </w:rPr>
        <w:t>加强水生态等生态监测，建立生态安全监控预警体系</w:t>
      </w:r>
      <w:r>
        <w:rPr>
          <w:rFonts w:hint="eastAsia" w:eastAsiaTheme="minorEastAsia"/>
          <w:sz w:val="28"/>
          <w:szCs w:val="28"/>
        </w:rPr>
        <w:t>。</w:t>
      </w:r>
      <w:r>
        <w:rPr>
          <w:rFonts w:eastAsiaTheme="minorEastAsia"/>
          <w:sz w:val="28"/>
          <w:szCs w:val="28"/>
        </w:rPr>
        <w:t>加强水质监测，建立水质监测预警体系</w:t>
      </w:r>
      <w:r>
        <w:rPr>
          <w:rFonts w:hint="eastAsia" w:eastAsiaTheme="minorEastAsia"/>
          <w:sz w:val="28"/>
          <w:szCs w:val="28"/>
        </w:rPr>
        <w:t>；</w:t>
      </w:r>
      <w:r>
        <w:rPr>
          <w:rFonts w:eastAsiaTheme="minorEastAsia"/>
          <w:sz w:val="28"/>
          <w:szCs w:val="28"/>
        </w:rPr>
        <w:t>加强执法和应急能力建设</w:t>
      </w:r>
      <w:r>
        <w:rPr>
          <w:rFonts w:hint="eastAsia" w:eastAsiaTheme="minorEastAsia"/>
          <w:sz w:val="28"/>
          <w:szCs w:val="28"/>
        </w:rPr>
        <w:t>。计划在大运河泗县段建设5处县级微型监测点，</w:t>
      </w:r>
      <w:r>
        <w:rPr>
          <w:rFonts w:eastAsiaTheme="minorEastAsia"/>
          <w:sz w:val="28"/>
          <w:szCs w:val="28"/>
        </w:rPr>
        <w:t>完成常规水质参数以及叶绿素、氮、磷等富营养化指标和生物毒性等水质指标的实时连续监测，掌握水质状况和动态变化趋势，对水质状况实行预测预报，及时预警预报水质污染突发事件。</w:t>
      </w:r>
    </w:p>
    <w:p>
      <w:pPr>
        <w:spacing w:line="360" w:lineRule="auto"/>
        <w:ind w:firstLine="560" w:firstLineChars="200"/>
        <w:rPr>
          <w:sz w:val="28"/>
          <w:szCs w:val="28"/>
        </w:rPr>
      </w:pPr>
      <w:r>
        <w:rPr>
          <w:rFonts w:hint="eastAsia"/>
          <w:sz w:val="28"/>
          <w:szCs w:val="28"/>
        </w:rPr>
        <w:t>（6）</w:t>
      </w:r>
      <w:r>
        <w:rPr>
          <w:rFonts w:hint="eastAsia" w:ascii="宋体" w:hAnsi="宋体"/>
          <w:b/>
          <w:bCs/>
          <w:sz w:val="28"/>
          <w:szCs w:val="28"/>
        </w:rPr>
        <w:t>对大运河泗县城区段水环境进行综合治理</w:t>
      </w:r>
      <w:r>
        <w:rPr>
          <w:rFonts w:hint="eastAsia" w:ascii="宋体" w:hAnsi="宋体"/>
          <w:sz w:val="28"/>
          <w:szCs w:val="28"/>
        </w:rPr>
        <w:t>。提出对泗县、灵璧县城区</w:t>
      </w:r>
      <w:r>
        <w:rPr>
          <w:rFonts w:ascii="宋体" w:hAnsi="宋体"/>
          <w:sz w:val="28"/>
          <w:szCs w:val="28"/>
        </w:rPr>
        <w:t>雨水排污口</w:t>
      </w:r>
      <w:r>
        <w:rPr>
          <w:rFonts w:hint="eastAsia" w:ascii="宋体" w:hAnsi="宋体"/>
          <w:sz w:val="28"/>
          <w:szCs w:val="28"/>
        </w:rPr>
        <w:t>进行</w:t>
      </w:r>
      <w:r>
        <w:rPr>
          <w:rFonts w:ascii="宋体" w:hAnsi="宋体"/>
          <w:sz w:val="28"/>
          <w:szCs w:val="28"/>
        </w:rPr>
        <w:t>整治</w:t>
      </w:r>
      <w:r>
        <w:rPr>
          <w:rFonts w:hint="eastAsia" w:ascii="宋体" w:hAnsi="宋体"/>
          <w:sz w:val="28"/>
          <w:szCs w:val="28"/>
        </w:rPr>
        <w:t>，以此来</w:t>
      </w:r>
      <w:r>
        <w:rPr>
          <w:rFonts w:ascii="宋体" w:hAnsi="宋体"/>
          <w:sz w:val="28"/>
          <w:szCs w:val="28"/>
        </w:rPr>
        <w:t>规范沿岸污水排放</w:t>
      </w:r>
      <w:r>
        <w:rPr>
          <w:rFonts w:hint="eastAsia" w:ascii="宋体" w:hAnsi="宋体"/>
          <w:sz w:val="28"/>
          <w:szCs w:val="28"/>
        </w:rPr>
        <w:t>；收集大运河故道沿线居民生活污水及初期雨水，对城区段两岸仍存在有直排生活污水的居民小区实施污水管道改造，纳入城镇污水管网；</w:t>
      </w:r>
      <w:r>
        <w:rPr>
          <w:sz w:val="28"/>
          <w:szCs w:val="28"/>
        </w:rPr>
        <w:t>对长沟镇、屏山镇、草庙镇、黑塔镇这4个乡镇的乡镇污水处理厂进行提标改造</w:t>
      </w:r>
      <w:r>
        <w:rPr>
          <w:rFonts w:hint="eastAsia"/>
          <w:sz w:val="28"/>
          <w:szCs w:val="28"/>
        </w:rPr>
        <w:t>。</w:t>
      </w:r>
    </w:p>
    <w:p>
      <w:pPr>
        <w:spacing w:line="360" w:lineRule="auto"/>
        <w:ind w:firstLine="560" w:firstLineChars="200"/>
        <w:rPr>
          <w:sz w:val="28"/>
          <w:szCs w:val="28"/>
        </w:rPr>
        <w:sectPr>
          <w:footerReference r:id="rId8" w:type="default"/>
          <w:pgSz w:w="11906" w:h="16838"/>
          <w:pgMar w:top="1417" w:right="1417" w:bottom="1417" w:left="1417" w:header="227" w:footer="1077" w:gutter="0"/>
          <w:pgNumType w:start="1" w:chapStyle="1"/>
          <w:cols w:space="0" w:num="1"/>
          <w:docGrid w:type="lines" w:linePitch="394" w:charSpace="0"/>
        </w:sectPr>
      </w:pPr>
      <w:r>
        <w:rPr>
          <w:rFonts w:hint="eastAsia"/>
          <w:sz w:val="28"/>
          <w:szCs w:val="28"/>
        </w:rPr>
        <w:t>（7）</w:t>
      </w:r>
      <w:r>
        <w:rPr>
          <w:rFonts w:hint="eastAsia"/>
          <w:b/>
          <w:bCs/>
          <w:sz w:val="28"/>
          <w:szCs w:val="28"/>
        </w:rPr>
        <w:t>提出大运河宿州段长效保护机制方案</w:t>
      </w:r>
      <w:r>
        <w:rPr>
          <w:rFonts w:hint="eastAsia"/>
          <w:sz w:val="28"/>
          <w:szCs w:val="28"/>
        </w:rPr>
        <w:t>。通过完善法规、环境经济激励引导、</w:t>
      </w:r>
      <w:r>
        <w:rPr>
          <w:rFonts w:hint="eastAsia" w:eastAsiaTheme="minorEastAsia"/>
          <w:sz w:val="28"/>
          <w:szCs w:val="28"/>
        </w:rPr>
        <w:t>制定</w:t>
      </w:r>
      <w:r>
        <w:rPr>
          <w:rFonts w:eastAsiaTheme="minorEastAsia"/>
          <w:sz w:val="28"/>
          <w:szCs w:val="28"/>
        </w:rPr>
        <w:t>年度实施计划</w:t>
      </w:r>
      <w:r>
        <w:rPr>
          <w:rFonts w:hint="eastAsia" w:eastAsiaTheme="minorEastAsia"/>
          <w:sz w:val="28"/>
          <w:szCs w:val="28"/>
        </w:rPr>
        <w:t>、</w:t>
      </w:r>
      <w:r>
        <w:rPr>
          <w:rFonts w:eastAsiaTheme="minorEastAsia"/>
          <w:sz w:val="28"/>
          <w:szCs w:val="28"/>
        </w:rPr>
        <w:t>明确目标任务</w:t>
      </w:r>
      <w:r>
        <w:rPr>
          <w:rFonts w:hint="eastAsia" w:eastAsiaTheme="minorEastAsia"/>
          <w:sz w:val="28"/>
          <w:szCs w:val="28"/>
        </w:rPr>
        <w:t>、</w:t>
      </w:r>
      <w:r>
        <w:rPr>
          <w:rFonts w:eastAsiaTheme="minorEastAsia"/>
          <w:sz w:val="28"/>
          <w:szCs w:val="28"/>
        </w:rPr>
        <w:t>落实工作职责</w:t>
      </w:r>
      <w:r>
        <w:rPr>
          <w:rFonts w:hint="eastAsia" w:eastAsiaTheme="minorEastAsia"/>
          <w:sz w:val="28"/>
          <w:szCs w:val="28"/>
        </w:rPr>
        <w:t>、</w:t>
      </w:r>
      <w:r>
        <w:rPr>
          <w:sz w:val="28"/>
          <w:szCs w:val="28"/>
        </w:rPr>
        <w:t>强化突发环境事件预防应对</w:t>
      </w:r>
      <w:r>
        <w:rPr>
          <w:rFonts w:hint="eastAsia"/>
          <w:sz w:val="28"/>
          <w:szCs w:val="28"/>
        </w:rPr>
        <w:t>，以此来保证大运河宿州段生态环境保护修复方案的顺利实施。</w:t>
      </w:r>
    </w:p>
    <w:p>
      <w:pPr>
        <w:tabs>
          <w:tab w:val="left" w:pos="979"/>
        </w:tabs>
        <w:spacing w:line="360" w:lineRule="auto"/>
        <w:ind w:right="57"/>
        <w:jc w:val="center"/>
        <w:rPr>
          <w:b/>
          <w:sz w:val="24"/>
        </w:rPr>
      </w:pPr>
      <w:r>
        <w:rPr>
          <w:rFonts w:hint="eastAsia"/>
          <w:b/>
          <w:bCs/>
          <w:color w:val="000000"/>
          <w:kern w:val="0"/>
          <w:sz w:val="24"/>
        </w:rPr>
        <w:t xml:space="preserve">表1-1  </w:t>
      </w:r>
      <w:r>
        <w:rPr>
          <w:rFonts w:hint="eastAsia"/>
          <w:b/>
          <w:sz w:val="24"/>
        </w:rPr>
        <w:t>中共中央办公厅、国务院办公厅关于印发《大运河文化保护传承利用规划纲要》的通知要求</w:t>
      </w:r>
    </w:p>
    <w:tbl>
      <w:tblPr>
        <w:tblStyle w:val="28"/>
        <w:tblW w:w="142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45"/>
        <w:gridCol w:w="4252"/>
        <w:gridCol w:w="36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7" w:hRule="atLeast"/>
        </w:trPr>
        <w:tc>
          <w:tcPr>
            <w:tcW w:w="14220" w:type="dxa"/>
            <w:gridSpan w:val="3"/>
            <w:shd w:val="clear" w:color="auto" w:fill="auto"/>
            <w:vAlign w:val="center"/>
          </w:tcPr>
          <w:p>
            <w:pPr>
              <w:widowControl/>
              <w:jc w:val="center"/>
              <w:rPr>
                <w:rFonts w:ascii="宋体" w:hAnsi="宋体" w:cs="宋体"/>
                <w:b/>
                <w:bCs/>
                <w:color w:val="000000"/>
                <w:kern w:val="0"/>
                <w:sz w:val="24"/>
              </w:rPr>
            </w:pPr>
            <w:r>
              <w:rPr>
                <w:rFonts w:hint="eastAsia" w:ascii="宋体" w:hAnsi="宋体" w:cs="宋体"/>
                <w:b/>
                <w:bCs/>
                <w:color w:val="000000"/>
                <w:kern w:val="0"/>
                <w:sz w:val="24"/>
              </w:rPr>
              <w:t>中共中央办公厅、国务院办公厅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0" w:hRule="atLeast"/>
        </w:trPr>
        <w:tc>
          <w:tcPr>
            <w:tcW w:w="6345" w:type="dxa"/>
            <w:shd w:val="clear" w:color="auto" w:fill="auto"/>
            <w:vAlign w:val="center"/>
          </w:tcPr>
          <w:p>
            <w:pPr>
              <w:widowControl/>
              <w:jc w:val="center"/>
              <w:rPr>
                <w:rFonts w:ascii="黑体" w:hAnsi="黑体" w:eastAsia="黑体" w:cs="黑体"/>
                <w:color w:val="000000"/>
                <w:kern w:val="0"/>
                <w:sz w:val="24"/>
              </w:rPr>
            </w:pPr>
            <w:r>
              <w:rPr>
                <w:rFonts w:hint="eastAsia" w:ascii="黑体" w:hAnsi="黑体" w:eastAsia="黑体" w:cs="黑体"/>
                <w:color w:val="000000"/>
                <w:kern w:val="0"/>
                <w:sz w:val="24"/>
              </w:rPr>
              <w:t>建设绿色生态廊道</w:t>
            </w:r>
          </w:p>
        </w:tc>
        <w:tc>
          <w:tcPr>
            <w:tcW w:w="4252" w:type="dxa"/>
            <w:shd w:val="clear" w:color="auto" w:fill="auto"/>
            <w:vAlign w:val="center"/>
          </w:tcPr>
          <w:p>
            <w:pPr>
              <w:widowControl/>
              <w:jc w:val="center"/>
              <w:rPr>
                <w:rFonts w:ascii="黑体" w:hAnsi="黑体" w:eastAsia="黑体" w:cs="黑体"/>
                <w:color w:val="000000"/>
                <w:kern w:val="0"/>
                <w:sz w:val="24"/>
              </w:rPr>
            </w:pPr>
            <w:r>
              <w:rPr>
                <w:rFonts w:hint="eastAsia" w:ascii="黑体" w:hAnsi="黑体" w:eastAsia="黑体" w:cs="黑体"/>
                <w:color w:val="000000"/>
                <w:kern w:val="0"/>
                <w:sz w:val="24"/>
              </w:rPr>
              <w:t>开展生态系统保护</w:t>
            </w:r>
          </w:p>
        </w:tc>
        <w:tc>
          <w:tcPr>
            <w:tcW w:w="3623" w:type="dxa"/>
            <w:shd w:val="clear" w:color="auto" w:fill="auto"/>
            <w:noWrap/>
            <w:vAlign w:val="center"/>
          </w:tcPr>
          <w:p>
            <w:pPr>
              <w:widowControl/>
              <w:jc w:val="center"/>
              <w:rPr>
                <w:rFonts w:ascii="黑体" w:hAnsi="黑体" w:eastAsia="黑体" w:cs="黑体"/>
                <w:color w:val="000000"/>
                <w:kern w:val="0"/>
                <w:sz w:val="24"/>
              </w:rPr>
            </w:pPr>
            <w:r>
              <w:rPr>
                <w:rFonts w:hint="eastAsia" w:ascii="黑体" w:hAnsi="黑体" w:eastAsia="黑体" w:cs="黑体"/>
                <w:color w:val="000000"/>
                <w:kern w:val="0"/>
                <w:sz w:val="24"/>
              </w:rPr>
              <w:t>推进水环境污染防治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20" w:hRule="atLeast"/>
        </w:trPr>
        <w:tc>
          <w:tcPr>
            <w:tcW w:w="6345" w:type="dxa"/>
            <w:shd w:val="clear" w:color="auto" w:fill="auto"/>
            <w:vAlign w:val="center"/>
          </w:tcPr>
          <w:p>
            <w:pPr>
              <w:widowControl/>
              <w:ind w:firstLine="482" w:firstLineChars="200"/>
              <w:jc w:val="left"/>
              <w:rPr>
                <w:rFonts w:ascii="宋体" w:hAnsi="宋体" w:cs="宋体"/>
                <w:color w:val="000000"/>
                <w:kern w:val="0"/>
                <w:sz w:val="24"/>
              </w:rPr>
            </w:pPr>
            <w:r>
              <w:rPr>
                <w:rFonts w:hint="eastAsia"/>
                <w:b/>
                <w:bCs/>
                <w:color w:val="000000"/>
                <w:kern w:val="0"/>
                <w:sz w:val="24"/>
              </w:rPr>
              <w:t>（1）</w:t>
            </w:r>
            <w:r>
              <w:rPr>
                <w:rFonts w:hint="eastAsia" w:ascii="宋体" w:hAnsi="宋体" w:cs="宋体"/>
                <w:b/>
                <w:bCs/>
                <w:color w:val="000000"/>
                <w:kern w:val="0"/>
                <w:sz w:val="24"/>
              </w:rPr>
              <w:t>优化滨河生态空间</w:t>
            </w:r>
            <w:r>
              <w:rPr>
                <w:rFonts w:hint="eastAsia" w:ascii="宋体" w:hAnsi="宋体" w:cs="宋体"/>
                <w:color w:val="000000"/>
                <w:kern w:val="0"/>
                <w:sz w:val="24"/>
              </w:rPr>
              <w:t>。因地制宜划定或建设一批自然生态空间，纳入国土空间规划，原则上除城市建成区（含建制镇）外，京杭大运河和浙东运河主河道及隋唐大运河等具备条件的有水河道两岸各1000米范围内优化滨河生态空间，严控新增非公益建设用地，在严格保护耕地的基础上，实施滨河防护林生态屏障工程，在沿河两岸集中连片植树造林，加强植被绿化。属于永久基本农田的，应以种植大田作物为主，注重与周边自然生态系统有机结合，发挥生态服务功能，属于滨河自然水生态系统的，可规划建设一批湿地公园等。属于城市近郊区域的，可规划建设一批植物园、城市公园等，属于城市远郊区域的，可规划建设一批森林公园、郊野公园等，属于村庄的，要强化自然生态修复和改善，提升生态功能和服务价值。城市建成区应强化规划管控，落实土地用途管制，腾退的土地用于建设公共绿地，切实维护运河风貌。对于自然条件良好、生态功能突出的河湖滨岸重点区域，自然生态空间范围可不限于1000米。</w:t>
            </w:r>
          </w:p>
        </w:tc>
        <w:tc>
          <w:tcPr>
            <w:tcW w:w="4252" w:type="dxa"/>
            <w:shd w:val="clear" w:color="auto" w:fill="auto"/>
            <w:vAlign w:val="center"/>
          </w:tcPr>
          <w:p>
            <w:pPr>
              <w:widowControl/>
              <w:ind w:firstLine="482" w:firstLineChars="200"/>
              <w:jc w:val="left"/>
              <w:rPr>
                <w:color w:val="000000"/>
                <w:kern w:val="0"/>
                <w:sz w:val="24"/>
              </w:rPr>
            </w:pPr>
            <w:r>
              <w:rPr>
                <w:rFonts w:hint="eastAsia"/>
                <w:b/>
                <w:bCs/>
                <w:color w:val="000000"/>
                <w:kern w:val="0"/>
                <w:sz w:val="24"/>
              </w:rPr>
              <w:t>（1）突出生态系统保护</w:t>
            </w:r>
            <w:r>
              <w:rPr>
                <w:rFonts w:hint="eastAsia"/>
                <w:color w:val="000000"/>
                <w:kern w:val="0"/>
                <w:sz w:val="24"/>
              </w:rPr>
              <w:t>。突出对大运河沿岸自然保护区、风景名胜区、森林公园、地质公园、湿地公园、饮用水水源保护区等重要生态空间的保护，做好本底情况调查，统筹制定保护管理目标，着力改善生态系统服务功能。提高生态产品供给能力。将大运河河道两岸和森林、湖泊、湿地等生态功能重要区域纳入生态保护红线，细化分类分区管控措施，实施严格的生态保护。</w:t>
            </w:r>
          </w:p>
        </w:tc>
        <w:tc>
          <w:tcPr>
            <w:tcW w:w="3623" w:type="dxa"/>
            <w:shd w:val="clear" w:color="auto" w:fill="auto"/>
            <w:vAlign w:val="center"/>
          </w:tcPr>
          <w:p>
            <w:pPr>
              <w:widowControl/>
              <w:spacing w:after="280"/>
              <w:ind w:firstLine="482" w:firstLineChars="200"/>
              <w:jc w:val="left"/>
              <w:rPr>
                <w:color w:val="000000"/>
                <w:kern w:val="0"/>
                <w:sz w:val="24"/>
              </w:rPr>
            </w:pPr>
            <w:r>
              <w:rPr>
                <w:rFonts w:hint="eastAsia"/>
                <w:b/>
                <w:bCs/>
                <w:color w:val="000000"/>
                <w:kern w:val="0"/>
                <w:sz w:val="24"/>
              </w:rPr>
              <w:t>（1）开展重点单元污染防治</w:t>
            </w:r>
            <w:r>
              <w:rPr>
                <w:rFonts w:hint="eastAsia"/>
                <w:color w:val="000000"/>
                <w:kern w:val="0"/>
                <w:sz w:val="24"/>
              </w:rPr>
              <w:t>。建立健全大运河水体污染防治机制，分级分类实施全流域、控制区、控制单元治理，筛选大运河流域范围内优先控制单元，综合运用水污染治理、水资源调配、水生态保护等措施，提高污染防治的科学性、系统性和针对性。强化省、市、县跨界断面水质考核管理，实现上下游水污染联防联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0" w:hRule="atLeast"/>
        </w:trPr>
        <w:tc>
          <w:tcPr>
            <w:tcW w:w="6345" w:type="dxa"/>
            <w:vMerge w:val="restart"/>
            <w:shd w:val="clear" w:color="auto" w:fill="auto"/>
            <w:vAlign w:val="center"/>
          </w:tcPr>
          <w:p>
            <w:pPr>
              <w:widowControl/>
              <w:ind w:firstLine="482" w:firstLineChars="200"/>
              <w:jc w:val="left"/>
              <w:rPr>
                <w:rFonts w:ascii="宋体" w:hAnsi="宋体" w:cs="宋体"/>
                <w:color w:val="000000"/>
                <w:kern w:val="0"/>
                <w:sz w:val="24"/>
              </w:rPr>
            </w:pPr>
            <w:r>
              <w:rPr>
                <w:rFonts w:hint="eastAsia"/>
                <w:b/>
                <w:bCs/>
                <w:color w:val="000000"/>
                <w:kern w:val="0"/>
                <w:sz w:val="24"/>
              </w:rPr>
              <w:t>（2）</w:t>
            </w:r>
            <w:r>
              <w:rPr>
                <w:rFonts w:hint="eastAsia" w:ascii="宋体" w:hAnsi="宋体" w:cs="宋体"/>
                <w:b/>
                <w:bCs/>
                <w:color w:val="000000"/>
                <w:kern w:val="0"/>
                <w:sz w:val="24"/>
              </w:rPr>
              <w:t>加强生态空间管控</w:t>
            </w:r>
            <w:r>
              <w:rPr>
                <w:rFonts w:hint="eastAsia" w:ascii="宋体" w:hAnsi="宋体" w:cs="宋体"/>
                <w:color w:val="000000"/>
                <w:kern w:val="0"/>
                <w:sz w:val="24"/>
              </w:rPr>
              <w:t>。核心监控区要纳入国土空间规划，实行负面清单准入管理，推动各地因地制宜制定禁止和限制发展产业目录，强化准入管理和底线约束，严禁新建扩建不利于生态环境保护的工矿企业等项目，对于违规占压运河河道本体和岸线的建（构）筑物限期拆除，推动不符合生态环境保护和相关规划要求的已有项目和设施逐步搬离，原址恢复原状或进行合理绿化。核心监控区的非建成区严禁大规模新建扩建房地产、大型及特大型主题公园等开发项目，城市建成区老城改造按照高层禁建区管理，落实限高、限密度的具体要求，逐步改造与传统风貌不协调的建(构）筑物，控制城市景观视线走廊，限制各类用地调整为大型工商业项目、商务办公项目、住宅商品房、仓储物流设施等用地，整体保护大运河沿线空间形态。</w:t>
            </w:r>
          </w:p>
        </w:tc>
        <w:tc>
          <w:tcPr>
            <w:tcW w:w="4252" w:type="dxa"/>
            <w:shd w:val="clear" w:color="auto" w:fill="auto"/>
            <w:vAlign w:val="center"/>
          </w:tcPr>
          <w:p>
            <w:pPr>
              <w:widowControl/>
              <w:ind w:firstLine="482" w:firstLineChars="200"/>
              <w:jc w:val="left"/>
              <w:rPr>
                <w:color w:val="000000"/>
                <w:kern w:val="0"/>
                <w:sz w:val="24"/>
              </w:rPr>
            </w:pPr>
            <w:r>
              <w:rPr>
                <w:rFonts w:hint="eastAsia"/>
                <w:b/>
                <w:bCs/>
                <w:color w:val="000000"/>
                <w:kern w:val="0"/>
                <w:sz w:val="24"/>
              </w:rPr>
              <w:t>（2）加大综合治理力度</w:t>
            </w:r>
            <w:r>
              <w:rPr>
                <w:rFonts w:hint="eastAsia"/>
                <w:color w:val="000000"/>
                <w:kern w:val="0"/>
                <w:sz w:val="24"/>
              </w:rPr>
              <w:t>。加大森林、湖泊、湿地等自然生态系统的修复治理力度，注重自然修复与工程治理相结合，采取河岸带水生态保护与修复、植被恢复、生态补水等措施，增强湖泊、湿地生态功能和自然净化能力，科学开展江河湖库水系连通，保障重要河湖基本生态用水。严格控制大运河周边地下水超采，以黄河以北段为重点，推进地下水超采区综合治理，超采区内除正常生活用水外禁止新增取用地下水。推进核心区范围内采煤塌陷地综合治理和废弃矿山生态环境修复。加强大运河沿线平原沙土区水土流失预防和治理，有效控制入河泥沙。</w:t>
            </w:r>
          </w:p>
        </w:tc>
        <w:tc>
          <w:tcPr>
            <w:tcW w:w="3623" w:type="dxa"/>
            <w:shd w:val="clear" w:color="auto" w:fill="auto"/>
            <w:vAlign w:val="center"/>
          </w:tcPr>
          <w:p>
            <w:pPr>
              <w:widowControl/>
              <w:ind w:firstLine="482" w:firstLineChars="200"/>
              <w:jc w:val="left"/>
              <w:rPr>
                <w:color w:val="000000"/>
                <w:kern w:val="0"/>
                <w:sz w:val="24"/>
              </w:rPr>
            </w:pPr>
            <w:r>
              <w:rPr>
                <w:rFonts w:hint="eastAsia"/>
                <w:b/>
                <w:bCs/>
                <w:color w:val="000000"/>
                <w:kern w:val="0"/>
                <w:sz w:val="24"/>
              </w:rPr>
              <w:t>（2）严格管控污染排放</w:t>
            </w:r>
            <w:r>
              <w:rPr>
                <w:rFonts w:hint="eastAsia"/>
                <w:color w:val="000000"/>
                <w:kern w:val="0"/>
                <w:sz w:val="24"/>
              </w:rPr>
              <w:t>。划设水资源开发利用红线和水功能区限制纳污红线，加强大运河及相关重要河段入河排污口综合整治和监督管理，严格控制入河湖排污总量，严格工业点源污染防治、农业面源污染治理、船舶港口污染管控和城乡污水垃圾整治，制定大运河沿线一二三产业污染风险源防控措施，完善处理机制和偷排漏排监督机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0" w:hRule="atLeast"/>
        </w:trPr>
        <w:tc>
          <w:tcPr>
            <w:tcW w:w="6345" w:type="dxa"/>
            <w:vMerge w:val="continue"/>
            <w:shd w:val="clear" w:color="auto" w:fill="auto"/>
            <w:noWrap/>
            <w:vAlign w:val="bottom"/>
          </w:tcPr>
          <w:p>
            <w:pPr>
              <w:widowControl/>
              <w:jc w:val="left"/>
              <w:rPr>
                <w:rFonts w:ascii="宋体" w:hAnsi="宋体" w:cs="宋体"/>
                <w:color w:val="000000"/>
                <w:kern w:val="0"/>
                <w:sz w:val="24"/>
              </w:rPr>
            </w:pPr>
          </w:p>
        </w:tc>
        <w:tc>
          <w:tcPr>
            <w:tcW w:w="4252" w:type="dxa"/>
            <w:shd w:val="clear" w:color="auto" w:fill="auto"/>
            <w:vAlign w:val="center"/>
          </w:tcPr>
          <w:p>
            <w:pPr>
              <w:widowControl/>
              <w:ind w:firstLine="482" w:firstLineChars="200"/>
              <w:jc w:val="left"/>
              <w:rPr>
                <w:color w:val="000000"/>
                <w:kern w:val="0"/>
                <w:sz w:val="24"/>
              </w:rPr>
            </w:pPr>
            <w:r>
              <w:rPr>
                <w:rFonts w:hint="eastAsia"/>
                <w:b/>
                <w:bCs/>
                <w:color w:val="000000"/>
                <w:kern w:val="0"/>
                <w:sz w:val="24"/>
              </w:rPr>
              <w:t>（3）开展环境监测评估</w:t>
            </w:r>
            <w:r>
              <w:rPr>
                <w:rFonts w:hint="eastAsia"/>
                <w:color w:val="000000"/>
                <w:kern w:val="0"/>
                <w:sz w:val="24"/>
              </w:rPr>
              <w:t>。研究建立生态资源环境承载能力监测评价体系，丰富完善监测指标体系和技术体系，开展生态资源环境承载能力监测预警。加强对生态系统状况、环境质量变化、生态文明制度执行情况等方面的动态评价，开展常态化流域生态健康调查与评估。</w:t>
            </w:r>
          </w:p>
        </w:tc>
        <w:tc>
          <w:tcPr>
            <w:tcW w:w="3623" w:type="dxa"/>
            <w:shd w:val="clear" w:color="auto" w:fill="auto"/>
            <w:vAlign w:val="center"/>
          </w:tcPr>
          <w:p>
            <w:pPr>
              <w:widowControl/>
              <w:ind w:firstLine="482" w:firstLineChars="200"/>
              <w:jc w:val="left"/>
              <w:rPr>
                <w:color w:val="000000"/>
                <w:kern w:val="0"/>
                <w:sz w:val="24"/>
              </w:rPr>
            </w:pPr>
            <w:r>
              <w:rPr>
                <w:rFonts w:hint="eastAsia"/>
                <w:b/>
                <w:bCs/>
                <w:color w:val="000000"/>
                <w:kern w:val="0"/>
                <w:sz w:val="24"/>
              </w:rPr>
              <w:t>（3）强化污染应急处置</w:t>
            </w:r>
            <w:r>
              <w:rPr>
                <w:rFonts w:hint="eastAsia"/>
                <w:color w:val="000000"/>
                <w:kern w:val="0"/>
                <w:sz w:val="24"/>
              </w:rPr>
              <w:t>。建立健全应急预案体系，开展流域环境风险评估，制定流域应急预案，提升油品、危险化学品泄漏等水上污染事故联防联控和应急处置能力。针对京杭大运河（南水北调东线）的敏感区域，采取监测、断源、控污、治理等各项应急污染处理处置措施，重点监测突发水环境事件的污染范围和可能受污染区域，结合气象和水文条件，对污染带移动过程进行动态监测和及时处置。</w:t>
            </w:r>
          </w:p>
        </w:tc>
      </w:tr>
    </w:tbl>
    <w:p/>
    <w:p/>
    <w:p/>
    <w:p/>
    <w:p/>
    <w:p/>
    <w:p/>
    <w:p/>
    <w:p/>
    <w:p/>
    <w:p>
      <w:pPr>
        <w:tabs>
          <w:tab w:val="left" w:pos="979"/>
        </w:tabs>
        <w:spacing w:line="360" w:lineRule="auto"/>
        <w:ind w:right="57"/>
        <w:jc w:val="center"/>
        <w:rPr>
          <w:b/>
          <w:szCs w:val="21"/>
        </w:rPr>
      </w:pPr>
      <w:r>
        <w:rPr>
          <w:b/>
          <w:bCs/>
          <w:color w:val="000000"/>
          <w:kern w:val="0"/>
          <w:sz w:val="24"/>
        </w:rPr>
        <w:t xml:space="preserve">表1-2  </w:t>
      </w:r>
      <w:r>
        <w:rPr>
          <w:rFonts w:hint="eastAsia" w:ascii="宋体" w:hAnsi="宋体" w:cs="宋体"/>
          <w:b/>
          <w:bCs/>
          <w:color w:val="000000"/>
          <w:kern w:val="0"/>
          <w:sz w:val="24"/>
        </w:rPr>
        <w:t>中共安徽省委办公厅、安徽省人民政府办公厅关于印发《安徽省大运河文化保护传承利用实施规划》的通知要求</w:t>
      </w:r>
    </w:p>
    <w:tbl>
      <w:tblPr>
        <w:tblStyle w:val="28"/>
        <w:tblW w:w="142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95"/>
        <w:gridCol w:w="4024"/>
        <w:gridCol w:w="4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1" w:hRule="atLeast"/>
        </w:trPr>
        <w:tc>
          <w:tcPr>
            <w:tcW w:w="14220" w:type="dxa"/>
            <w:gridSpan w:val="3"/>
            <w:shd w:val="clear" w:color="auto" w:fill="auto"/>
            <w:vAlign w:val="center"/>
          </w:tcPr>
          <w:p>
            <w:pPr>
              <w:widowControl/>
              <w:jc w:val="center"/>
              <w:rPr>
                <w:rFonts w:ascii="宋体" w:hAnsi="宋体" w:cs="宋体"/>
                <w:b/>
                <w:bCs/>
                <w:color w:val="000000"/>
                <w:kern w:val="0"/>
                <w:sz w:val="24"/>
              </w:rPr>
            </w:pPr>
            <w:r>
              <w:rPr>
                <w:rFonts w:hint="eastAsia" w:ascii="宋体" w:hAnsi="宋体" w:cs="宋体"/>
                <w:b/>
                <w:bCs/>
                <w:color w:val="000000"/>
                <w:kern w:val="0"/>
                <w:sz w:val="24"/>
              </w:rPr>
              <w:t>中共安徽省委办公厅、安徽省人民政府办公厅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3" w:hRule="atLeast"/>
        </w:trPr>
        <w:tc>
          <w:tcPr>
            <w:tcW w:w="5495" w:type="dxa"/>
            <w:shd w:val="clear" w:color="auto" w:fill="auto"/>
            <w:vAlign w:val="center"/>
          </w:tcPr>
          <w:p>
            <w:pPr>
              <w:widowControl/>
              <w:jc w:val="center"/>
              <w:rPr>
                <w:rFonts w:ascii="黑体" w:hAnsi="黑体" w:eastAsia="黑体" w:cs="黑体"/>
                <w:color w:val="000000"/>
                <w:kern w:val="0"/>
                <w:sz w:val="24"/>
              </w:rPr>
            </w:pPr>
            <w:r>
              <w:rPr>
                <w:rFonts w:hint="eastAsia" w:ascii="黑体" w:hAnsi="黑体" w:eastAsia="黑体" w:cs="黑体"/>
                <w:color w:val="000000"/>
                <w:kern w:val="0"/>
                <w:sz w:val="24"/>
              </w:rPr>
              <w:t>建设绿色生态廊道</w:t>
            </w:r>
          </w:p>
        </w:tc>
        <w:tc>
          <w:tcPr>
            <w:tcW w:w="4024" w:type="dxa"/>
            <w:shd w:val="clear" w:color="auto" w:fill="auto"/>
            <w:vAlign w:val="center"/>
          </w:tcPr>
          <w:p>
            <w:pPr>
              <w:widowControl/>
              <w:jc w:val="center"/>
              <w:rPr>
                <w:rFonts w:ascii="黑体" w:hAnsi="黑体" w:eastAsia="黑体" w:cs="黑体"/>
                <w:color w:val="000000"/>
                <w:kern w:val="0"/>
                <w:sz w:val="24"/>
              </w:rPr>
            </w:pPr>
            <w:r>
              <w:rPr>
                <w:rFonts w:hint="eastAsia" w:ascii="黑体" w:hAnsi="黑体" w:eastAsia="黑体" w:cs="黑体"/>
                <w:color w:val="000000"/>
                <w:kern w:val="0"/>
                <w:sz w:val="24"/>
              </w:rPr>
              <w:t>开展生态系统保护</w:t>
            </w:r>
          </w:p>
        </w:tc>
        <w:tc>
          <w:tcPr>
            <w:tcW w:w="4701" w:type="dxa"/>
            <w:shd w:val="clear" w:color="auto" w:fill="auto"/>
            <w:vAlign w:val="center"/>
          </w:tcPr>
          <w:p>
            <w:pPr>
              <w:widowControl/>
              <w:jc w:val="center"/>
              <w:rPr>
                <w:rFonts w:ascii="黑体" w:hAnsi="黑体" w:eastAsia="黑体" w:cs="黑体"/>
                <w:color w:val="000000"/>
                <w:kern w:val="0"/>
                <w:sz w:val="24"/>
              </w:rPr>
            </w:pPr>
            <w:r>
              <w:rPr>
                <w:rFonts w:hint="eastAsia" w:ascii="黑体" w:hAnsi="黑体" w:eastAsia="黑体" w:cs="黑体"/>
                <w:color w:val="000000"/>
                <w:kern w:val="0"/>
                <w:sz w:val="24"/>
              </w:rPr>
              <w:t>推进区域生态环境综合治理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155" w:hRule="atLeast"/>
        </w:trPr>
        <w:tc>
          <w:tcPr>
            <w:tcW w:w="5495" w:type="dxa"/>
            <w:shd w:val="clear" w:color="auto" w:fill="auto"/>
            <w:vAlign w:val="center"/>
          </w:tcPr>
          <w:p>
            <w:pPr>
              <w:widowControl/>
              <w:ind w:firstLine="482" w:firstLineChars="200"/>
              <w:jc w:val="left"/>
              <w:rPr>
                <w:color w:val="000000"/>
                <w:kern w:val="0"/>
                <w:sz w:val="24"/>
              </w:rPr>
            </w:pPr>
            <w:r>
              <w:rPr>
                <w:rFonts w:hint="eastAsia"/>
                <w:b/>
                <w:bCs/>
                <w:color w:val="000000"/>
                <w:kern w:val="0"/>
                <w:sz w:val="24"/>
              </w:rPr>
              <w:t>（1）</w:t>
            </w:r>
            <w:r>
              <w:rPr>
                <w:b/>
                <w:bCs/>
                <w:color w:val="000000"/>
                <w:kern w:val="0"/>
                <w:sz w:val="24"/>
              </w:rPr>
              <w:t>优化滨河生态空间</w:t>
            </w:r>
            <w:r>
              <w:rPr>
                <w:color w:val="000000"/>
                <w:kern w:val="0"/>
                <w:sz w:val="24"/>
              </w:rPr>
              <w:t>。因地制宜划定或建设一批自然生态空间，纳入国土空间规划，原则上除泗县泗城镇建成区外（北至新</w:t>
            </w:r>
            <w:r>
              <w:rPr>
                <w:rFonts w:hint="eastAsia"/>
                <w:color w:val="000000"/>
                <w:kern w:val="0"/>
                <w:sz w:val="24"/>
              </w:rPr>
              <w:t>濉</w:t>
            </w:r>
            <w:r>
              <w:rPr>
                <w:color w:val="000000"/>
                <w:kern w:val="0"/>
                <w:sz w:val="24"/>
              </w:rPr>
              <w:t>河、南至新汴河、西到新104国道、东至新看守所南北路)</w:t>
            </w:r>
            <w:r>
              <w:rPr>
                <w:rFonts w:hint="eastAsia"/>
                <w:color w:val="000000"/>
                <w:kern w:val="0"/>
                <w:sz w:val="24"/>
              </w:rPr>
              <w:t>，</w:t>
            </w:r>
            <w:r>
              <w:rPr>
                <w:color w:val="000000"/>
                <w:kern w:val="0"/>
                <w:sz w:val="24"/>
              </w:rPr>
              <w:t>有水河道两岸各1000米范围内优化滨河生态空间，严控新增非公益建设用地。在严格保护耕地的基础上，实施滨河防护林生态屏障建设，沿河两岸集中连片植树造林，提高植被覆盖率。属于永久基本农田的，发挥其自身生态服务功能，注重与周边自然生态系统有机结合。属于滨河自然水生态系统的，探索建立湿地公园，加强河道两岸水土保持。在泗城近郊，探索建设植物园、城市公园等。</w:t>
            </w:r>
            <w:r>
              <w:rPr>
                <w:color w:val="000000" w:themeColor="text1"/>
                <w:kern w:val="0"/>
                <w:sz w:val="24"/>
                <w14:textFill>
                  <w14:solidFill>
                    <w14:schemeClr w14:val="tx1"/>
                  </w14:solidFill>
                </w14:textFill>
              </w:rPr>
              <w:t>在泗县县城东段的曹苗村、县城西段的彭铺村等村庄，强化自然生态系统修复，改善人居环境，提升生态功能和服务价值。在泗城镇建成区，加强规划管控，落实土地用途管制，腾退的土地用于建设公共绿地，切实维护运河风貌。通济渠泗县段重点区域，自然生态空间范围可不限于1000米。</w:t>
            </w:r>
          </w:p>
        </w:tc>
        <w:tc>
          <w:tcPr>
            <w:tcW w:w="4024" w:type="dxa"/>
            <w:shd w:val="clear" w:color="auto" w:fill="auto"/>
            <w:vAlign w:val="center"/>
          </w:tcPr>
          <w:p>
            <w:pPr>
              <w:widowControl/>
              <w:ind w:firstLine="482" w:firstLineChars="200"/>
              <w:jc w:val="left"/>
              <w:rPr>
                <w:color w:val="000000"/>
                <w:kern w:val="0"/>
                <w:sz w:val="24"/>
              </w:rPr>
            </w:pPr>
            <w:r>
              <w:rPr>
                <w:rFonts w:hint="eastAsia"/>
                <w:b/>
                <w:bCs/>
                <w:color w:val="000000"/>
                <w:kern w:val="0"/>
                <w:sz w:val="24"/>
              </w:rPr>
              <w:t>（1）</w:t>
            </w:r>
            <w:r>
              <w:rPr>
                <w:b/>
                <w:bCs/>
                <w:color w:val="000000"/>
                <w:kern w:val="0"/>
                <w:sz w:val="24"/>
              </w:rPr>
              <w:t>强化生态系统保护</w:t>
            </w:r>
            <w:r>
              <w:rPr>
                <w:color w:val="000000"/>
                <w:kern w:val="0"/>
                <w:sz w:val="24"/>
              </w:rPr>
              <w:t>。强化对大运河沿岸自然保护区、风景名胜区、地质公园、森林公园、湿地公园、饮用水水源保护区等重要生态空间的保护，做好本底资源情况调查，统筹制定保护管理目标，着力改善生态系统服务功能，提高生态产品供给能力。将大运河河道两岸和森林、湖泊、湿地等生态功能重要区域纳入生态保护红线，细化分类分区管控措施，实施严格的生态保护。</w:t>
            </w:r>
          </w:p>
        </w:tc>
        <w:tc>
          <w:tcPr>
            <w:tcW w:w="4701" w:type="dxa"/>
            <w:shd w:val="clear" w:color="auto" w:fill="auto"/>
            <w:vAlign w:val="center"/>
          </w:tcPr>
          <w:p>
            <w:pPr>
              <w:widowControl/>
              <w:ind w:firstLine="482" w:firstLineChars="200"/>
              <w:jc w:val="left"/>
              <w:rPr>
                <w:color w:val="000000"/>
                <w:kern w:val="0"/>
                <w:sz w:val="24"/>
              </w:rPr>
            </w:pPr>
            <w:r>
              <w:rPr>
                <w:rFonts w:hint="eastAsia"/>
                <w:b/>
                <w:bCs/>
                <w:color w:val="000000"/>
                <w:kern w:val="0"/>
                <w:sz w:val="24"/>
              </w:rPr>
              <w:t>（1）</w:t>
            </w:r>
            <w:r>
              <w:rPr>
                <w:b/>
                <w:bCs/>
                <w:color w:val="000000"/>
                <w:kern w:val="0"/>
                <w:sz w:val="24"/>
              </w:rPr>
              <w:t>全面提升区域水环境质量</w:t>
            </w:r>
            <w:r>
              <w:rPr>
                <w:color w:val="000000"/>
                <w:kern w:val="0"/>
                <w:sz w:val="24"/>
              </w:rPr>
              <w:t>。坚持水环境质量底线，坚持点源、面源和流动源综合防治策略，建立健全运河水体污染防治机制，分级分类实施流域、控制区、控制单元治理，综合运用水污染治理、水资源调配、水生态保护等措施，提高污染防治的科学性、系统性和针对性。突出抓好有水河段污染水体治理，解决运河水环境问题，切实改善运河水质。实施古运河、新汴河、浍河、华家湖等河湖水环境综合治理和水功能区达标建设。强化市、县跨界断面水质考核管理，加强上下游水污染联防联控。划定运河沿线水资源开发利用红线和水功能区限制纳污红线，加强运河及周边水系排污口综合整治和监管，排查并整治工业点源污染、农业面源污染、船舶污染、城乡生活污水垃圾，加快推进运河水系黑臭水体治理，严格控制入河排污总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65" w:hRule="atLeast"/>
        </w:trPr>
        <w:tc>
          <w:tcPr>
            <w:tcW w:w="5495" w:type="dxa"/>
            <w:shd w:val="clear" w:color="auto" w:fill="auto"/>
            <w:vAlign w:val="center"/>
          </w:tcPr>
          <w:p>
            <w:pPr>
              <w:widowControl/>
              <w:ind w:firstLine="482" w:firstLineChars="200"/>
              <w:jc w:val="left"/>
              <w:rPr>
                <w:color w:val="000000"/>
                <w:kern w:val="0"/>
                <w:sz w:val="24"/>
              </w:rPr>
            </w:pPr>
            <w:r>
              <w:rPr>
                <w:rFonts w:hint="eastAsia"/>
                <w:b/>
                <w:bCs/>
                <w:color w:val="000000"/>
                <w:kern w:val="0"/>
                <w:sz w:val="24"/>
              </w:rPr>
              <w:t>（2）</w:t>
            </w:r>
            <w:r>
              <w:rPr>
                <w:b/>
                <w:bCs/>
                <w:color w:val="000000"/>
                <w:kern w:val="0"/>
                <w:sz w:val="24"/>
              </w:rPr>
              <w:t>加强生态空间管控</w:t>
            </w:r>
            <w:r>
              <w:rPr>
                <w:color w:val="000000"/>
                <w:kern w:val="0"/>
                <w:sz w:val="24"/>
              </w:rPr>
              <w:t>。严格自然生态环境和传统历史风貌保护，突出世界文化遗产保护。核心监控区要纳入国土空间规划，实行负面清单准入管理，因地制宜制定禁止和限制发展产业目录，强化准入管理和底线约束，严禁新建扩建不利于生态环境保护的工矿企业等项目，限期拆除违规侵占运河河道本体和岸线的建（构）筑物，推动不符合生态环境保护和相关规划要求的已有项目和设施逐步搬离，原址恢复原状或进行合理绿化。核心</w:t>
            </w:r>
            <w:r>
              <w:rPr>
                <w:rFonts w:hint="eastAsia"/>
                <w:color w:val="000000"/>
                <w:kern w:val="0"/>
                <w:sz w:val="24"/>
              </w:rPr>
              <w:t>监控区</w:t>
            </w:r>
            <w:r>
              <w:rPr>
                <w:color w:val="000000"/>
                <w:kern w:val="0"/>
                <w:sz w:val="24"/>
              </w:rPr>
              <w:t>的非建成区严禁大规模新建扩建房地产、大型及特大型主题公园等开发项目，城市建成区老城改造按照高层禁建区管理，落实限高、限密度的具体要求，逐步改造与传统风貌不协调的建(构)筑物，控制城市景观视线走廊，限制各类用地调整为大型工商业项目、商务办公项目、住宅商品房、仓储物流设施等用地，整体保护大运河沿线空间形态。</w:t>
            </w:r>
          </w:p>
        </w:tc>
        <w:tc>
          <w:tcPr>
            <w:tcW w:w="4024" w:type="dxa"/>
            <w:shd w:val="clear" w:color="auto" w:fill="auto"/>
            <w:vAlign w:val="center"/>
          </w:tcPr>
          <w:p>
            <w:pPr>
              <w:widowControl/>
              <w:ind w:firstLine="482" w:firstLineChars="200"/>
              <w:jc w:val="left"/>
              <w:rPr>
                <w:color w:val="000000"/>
                <w:kern w:val="0"/>
                <w:sz w:val="24"/>
              </w:rPr>
            </w:pPr>
            <w:r>
              <w:rPr>
                <w:rFonts w:hint="eastAsia"/>
                <w:b/>
                <w:bCs/>
                <w:color w:val="000000"/>
                <w:kern w:val="0"/>
                <w:sz w:val="24"/>
              </w:rPr>
              <w:t>（2）</w:t>
            </w:r>
            <w:r>
              <w:rPr>
                <w:b/>
                <w:bCs/>
                <w:color w:val="000000"/>
                <w:kern w:val="0"/>
                <w:sz w:val="24"/>
              </w:rPr>
              <w:t>加大综合整治力度</w:t>
            </w:r>
            <w:r>
              <w:rPr>
                <w:color w:val="000000"/>
                <w:kern w:val="0"/>
                <w:sz w:val="24"/>
              </w:rPr>
              <w:t>。加大森林、湖泊、湿地等自然生态系统的修复治理力度，注重自然修复与工程治理相结合，采取河岸带水生态保护与修复、植被恢复、生态补水等措施，增强湖泊、湿地生态功能和自然净化能力，科学开展河湖水系联通，保障基本生态用水。对受损的生态系统因地制宜开展生态修复，恢复生态系统结构，提升生态服务功能。对因采煤沉陷形成的湿地，开展生态系统健康评估工作，推进水生植被构建和生态恢复工程。推动采煤沉陷区综合治理和独立工矿区改造搬迁。有效配置河道景观植被，构建合理绿化系统，加强水土流失预防和治理，有效控制入河泥沙。</w:t>
            </w:r>
          </w:p>
        </w:tc>
        <w:tc>
          <w:tcPr>
            <w:tcW w:w="4701" w:type="dxa"/>
            <w:shd w:val="clear" w:color="auto" w:fill="auto"/>
            <w:vAlign w:val="center"/>
          </w:tcPr>
          <w:p>
            <w:pPr>
              <w:widowControl/>
              <w:ind w:firstLine="482" w:firstLineChars="200"/>
              <w:jc w:val="left"/>
              <w:rPr>
                <w:color w:val="000000"/>
                <w:kern w:val="0"/>
                <w:sz w:val="24"/>
              </w:rPr>
            </w:pPr>
            <w:r>
              <w:rPr>
                <w:rFonts w:hint="eastAsia"/>
                <w:b/>
                <w:bCs/>
                <w:color w:val="000000"/>
                <w:kern w:val="0"/>
                <w:sz w:val="24"/>
              </w:rPr>
              <w:t>（2）</w:t>
            </w:r>
            <w:r>
              <w:rPr>
                <w:b/>
                <w:bCs/>
                <w:color w:val="000000"/>
                <w:kern w:val="0"/>
                <w:sz w:val="24"/>
              </w:rPr>
              <w:t>改善区域空气质量</w:t>
            </w:r>
            <w:r>
              <w:rPr>
                <w:color w:val="000000"/>
                <w:kern w:val="0"/>
                <w:sz w:val="24"/>
              </w:rPr>
              <w:t>。实施散煤综合治理，推行以电代煤、以气代煤等冬季清洁取暖方式。加大燃煤电厂超低排放和节能改造力度，优先保障可再生能源发电上网。加快</w:t>
            </w:r>
            <w:r>
              <w:rPr>
                <w:rFonts w:hint="eastAsia"/>
                <w:color w:val="000000"/>
                <w:kern w:val="0"/>
                <w:sz w:val="24"/>
              </w:rPr>
              <w:t>秸秆</w:t>
            </w:r>
            <w:r>
              <w:rPr>
                <w:color w:val="000000"/>
                <w:kern w:val="0"/>
                <w:sz w:val="24"/>
              </w:rPr>
              <w:t>资源综合利用。推进工业炉窑全面达标排放，严格控制工业炉窑生产工艺过程及物料储运等无组织排放，加大工业涂装、包装印刷、油品储运销售等挥发性有机物综合治理。实施柴油货车污染防治攻坚战，大力推广新能源汽车。完善区域大气污染物排放总量控制制度，实行大气污染联防联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60" w:hRule="atLeast"/>
        </w:trPr>
        <w:tc>
          <w:tcPr>
            <w:tcW w:w="5495" w:type="dxa"/>
            <w:vMerge w:val="restart"/>
            <w:shd w:val="clear" w:color="auto" w:fill="auto"/>
            <w:noWrap/>
            <w:vAlign w:val="center"/>
          </w:tcPr>
          <w:p>
            <w:pPr>
              <w:widowControl/>
              <w:jc w:val="center"/>
              <w:rPr>
                <w:color w:val="000000"/>
                <w:kern w:val="0"/>
                <w:sz w:val="24"/>
              </w:rPr>
            </w:pPr>
          </w:p>
        </w:tc>
        <w:tc>
          <w:tcPr>
            <w:tcW w:w="4024" w:type="dxa"/>
            <w:vMerge w:val="restart"/>
            <w:shd w:val="clear" w:color="auto" w:fill="auto"/>
            <w:vAlign w:val="center"/>
          </w:tcPr>
          <w:p>
            <w:pPr>
              <w:widowControl/>
              <w:ind w:firstLine="482" w:firstLineChars="200"/>
              <w:jc w:val="left"/>
              <w:rPr>
                <w:color w:val="000000"/>
                <w:kern w:val="0"/>
                <w:sz w:val="24"/>
              </w:rPr>
            </w:pPr>
            <w:r>
              <w:rPr>
                <w:rFonts w:hint="eastAsia"/>
                <w:b/>
                <w:bCs/>
                <w:color w:val="000000"/>
                <w:kern w:val="0"/>
                <w:sz w:val="24"/>
              </w:rPr>
              <w:t>（3）</w:t>
            </w:r>
            <w:r>
              <w:rPr>
                <w:b/>
                <w:bCs/>
                <w:color w:val="000000"/>
                <w:kern w:val="0"/>
                <w:sz w:val="24"/>
              </w:rPr>
              <w:t>开展环境监测评估</w:t>
            </w:r>
            <w:r>
              <w:rPr>
                <w:color w:val="000000"/>
                <w:kern w:val="0"/>
                <w:sz w:val="24"/>
              </w:rPr>
              <w:t>。研究建立生态资源环境承载能力监测评价体系，丰富完善监测指标体系和技术体系，开展生态资源环境承载能力监测预警。加强对生态系统状况、环境质量变化、生态文明制度执行情况等方面的动态评价，开展常态化流域生态健康调查与评估。</w:t>
            </w:r>
          </w:p>
        </w:tc>
        <w:tc>
          <w:tcPr>
            <w:tcW w:w="4701" w:type="dxa"/>
            <w:shd w:val="clear" w:color="auto" w:fill="auto"/>
            <w:vAlign w:val="center"/>
          </w:tcPr>
          <w:p>
            <w:pPr>
              <w:widowControl/>
              <w:spacing w:after="280"/>
              <w:ind w:firstLine="482" w:firstLineChars="200"/>
              <w:jc w:val="left"/>
              <w:rPr>
                <w:color w:val="000000"/>
                <w:kern w:val="0"/>
                <w:sz w:val="24"/>
              </w:rPr>
            </w:pPr>
            <w:r>
              <w:rPr>
                <w:rFonts w:hint="eastAsia"/>
                <w:b/>
                <w:bCs/>
                <w:color w:val="000000"/>
                <w:kern w:val="0"/>
                <w:sz w:val="24"/>
              </w:rPr>
              <w:t>（3）</w:t>
            </w:r>
            <w:r>
              <w:rPr>
                <w:b/>
                <w:bCs/>
                <w:color w:val="000000"/>
                <w:kern w:val="0"/>
                <w:sz w:val="24"/>
              </w:rPr>
              <w:t>推进区域土壤污染防治</w:t>
            </w:r>
            <w:r>
              <w:rPr>
                <w:color w:val="000000"/>
                <w:kern w:val="0"/>
                <w:sz w:val="24"/>
              </w:rPr>
              <w:t>。实施土壤污染防治行动计划。加强工业污染源监管，强化涉重金属行业污染防控。推广实施测土配方，实施化肥、农药施用量零增长行动，引导科学合理施肥施药。推进区域土壤污染防治。实施土壤污染防治行动计划。加强工业污染源监管，强化涉重金属行业污染防控。推广实施测土配方，实施化肥、农药施用量零增长行动，引导科学合理施肥施药。推进农用地土壤环境质量类别划分，实施分类管理和治理修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80" w:hRule="atLeast"/>
        </w:trPr>
        <w:tc>
          <w:tcPr>
            <w:tcW w:w="5495" w:type="dxa"/>
            <w:vMerge w:val="continue"/>
            <w:shd w:val="clear" w:color="auto" w:fill="auto"/>
            <w:noWrap/>
            <w:vAlign w:val="bottom"/>
          </w:tcPr>
          <w:p>
            <w:pPr>
              <w:widowControl/>
              <w:jc w:val="left"/>
              <w:rPr>
                <w:color w:val="000000"/>
                <w:kern w:val="0"/>
                <w:sz w:val="24"/>
              </w:rPr>
            </w:pPr>
          </w:p>
        </w:tc>
        <w:tc>
          <w:tcPr>
            <w:tcW w:w="4024" w:type="dxa"/>
            <w:vMerge w:val="continue"/>
            <w:shd w:val="clear" w:color="auto" w:fill="auto"/>
            <w:noWrap/>
            <w:vAlign w:val="bottom"/>
          </w:tcPr>
          <w:p>
            <w:pPr>
              <w:widowControl/>
              <w:jc w:val="left"/>
              <w:rPr>
                <w:color w:val="000000"/>
                <w:kern w:val="0"/>
                <w:sz w:val="24"/>
              </w:rPr>
            </w:pPr>
          </w:p>
        </w:tc>
        <w:tc>
          <w:tcPr>
            <w:tcW w:w="4701" w:type="dxa"/>
            <w:shd w:val="clear" w:color="auto" w:fill="auto"/>
            <w:vAlign w:val="center"/>
          </w:tcPr>
          <w:p>
            <w:pPr>
              <w:widowControl/>
              <w:ind w:firstLine="482" w:firstLineChars="200"/>
              <w:jc w:val="left"/>
              <w:rPr>
                <w:color w:val="000000"/>
                <w:kern w:val="0"/>
                <w:sz w:val="24"/>
              </w:rPr>
            </w:pPr>
            <w:r>
              <w:rPr>
                <w:rFonts w:hint="eastAsia"/>
                <w:b/>
                <w:bCs/>
                <w:color w:val="000000"/>
                <w:kern w:val="0"/>
                <w:sz w:val="24"/>
              </w:rPr>
              <w:t>（4）</w:t>
            </w:r>
            <w:r>
              <w:rPr>
                <w:b/>
                <w:bCs/>
                <w:color w:val="000000"/>
                <w:kern w:val="0"/>
                <w:sz w:val="24"/>
              </w:rPr>
              <w:t>强化突发环境事件预防应对</w:t>
            </w:r>
            <w:r>
              <w:rPr>
                <w:color w:val="000000"/>
                <w:kern w:val="0"/>
                <w:sz w:val="24"/>
              </w:rPr>
              <w:t>。建立健全环境应急预案体系，开展区域环境风险评估，强化工业和水上运输环境风险管控。以区域内主要河湖为重点，加强水系突发环境事件预警与应急，采取监测、断源、控污、治理等污染处理处置措施。</w:t>
            </w:r>
          </w:p>
        </w:tc>
      </w:tr>
    </w:tbl>
    <w:p>
      <w:pPr>
        <w:sectPr>
          <w:footerReference r:id="rId9" w:type="default"/>
          <w:pgSz w:w="16838" w:h="11906" w:orient="landscape"/>
          <w:pgMar w:top="1417" w:right="1417" w:bottom="1417" w:left="1417" w:header="227" w:footer="1077" w:gutter="0"/>
          <w:pgNumType w:chapStyle="1"/>
          <w:cols w:space="0" w:num="1"/>
          <w:docGrid w:type="lines" w:linePitch="394" w:charSpace="0"/>
        </w:sectPr>
      </w:pPr>
    </w:p>
    <w:p>
      <w:pPr>
        <w:pStyle w:val="4"/>
        <w:spacing w:before="394" w:after="394"/>
      </w:pPr>
      <w:bookmarkStart w:id="5" w:name="_Toc84536495"/>
      <w:r>
        <w:t>1.</w:t>
      </w:r>
      <w:r>
        <w:rPr>
          <w:rFonts w:eastAsiaTheme="minorEastAsia"/>
        </w:rPr>
        <w:t>3</w:t>
      </w:r>
      <w:r>
        <w:rPr>
          <w:rFonts w:hint="eastAsia"/>
        </w:rPr>
        <w:t xml:space="preserve"> </w:t>
      </w:r>
      <w:r>
        <w:rPr>
          <w:rFonts w:hint="eastAsia" w:asciiTheme="minorEastAsia" w:hAnsiTheme="minorEastAsia" w:eastAsiaTheme="minorEastAsia"/>
        </w:rPr>
        <w:t>自然条件及社会经济概况</w:t>
      </w:r>
      <w:bookmarkEnd w:id="5"/>
    </w:p>
    <w:p>
      <w:pPr>
        <w:pStyle w:val="25"/>
        <w:spacing w:before="197" w:after="197"/>
        <w:ind w:left="0" w:leftChars="0"/>
      </w:pPr>
      <w:bookmarkStart w:id="6" w:name="_Toc84536496"/>
      <w:r>
        <w:rPr>
          <w:rFonts w:hint="eastAsia"/>
        </w:rPr>
        <w:t>1.3.1 自然条件概况</w:t>
      </w:r>
      <w:bookmarkEnd w:id="6"/>
    </w:p>
    <w:p>
      <w:pPr>
        <w:pStyle w:val="6"/>
        <w:spacing w:before="78" w:after="78"/>
        <w:rPr>
          <w:rFonts w:ascii="Times New Roman" w:hAnsi="Times New Roman"/>
        </w:rPr>
      </w:pPr>
      <w:r>
        <w:rPr>
          <w:rFonts w:ascii="Times New Roman" w:hAnsi="Times New Roman"/>
        </w:rPr>
        <w:t xml:space="preserve">1.3.1.1 </w:t>
      </w:r>
      <w:r>
        <w:rPr>
          <w:rFonts w:asciiTheme="minorEastAsia" w:hAnsiTheme="minorEastAsia" w:eastAsiaTheme="minorEastAsia"/>
        </w:rPr>
        <w:t>宿州市自然条件概况</w:t>
      </w:r>
    </w:p>
    <w:p>
      <w:pPr>
        <w:spacing w:line="360" w:lineRule="auto"/>
        <w:ind w:firstLine="560" w:firstLineChars="200"/>
        <w:jc w:val="left"/>
        <w:rPr>
          <w:color w:val="000000" w:themeColor="text1"/>
          <w:sz w:val="28"/>
          <w:szCs w:val="28"/>
          <w14:textFill>
            <w14:solidFill>
              <w14:schemeClr w14:val="tx1"/>
            </w14:solidFill>
          </w14:textFill>
        </w:rPr>
      </w:pPr>
      <w:r>
        <w:rPr>
          <w:sz w:val="28"/>
          <w:szCs w:val="28"/>
        </w:rPr>
        <w:t>宿州市位于安徽省北部，苏鲁豫皖4省交界处，宿州的地理位置参见图1-1。介于东经116°09′-118°10′、北纬33°18′-34°38′之间。宿州市处于全国</w:t>
      </w:r>
      <w:r>
        <w:rPr>
          <w:rFonts w:hint="eastAsia"/>
          <w:sz w:val="28"/>
          <w:szCs w:val="28"/>
        </w:rPr>
        <w:t>“</w:t>
      </w:r>
      <w:r>
        <w:rPr>
          <w:sz w:val="28"/>
          <w:szCs w:val="28"/>
        </w:rPr>
        <w:t>两横三纵</w:t>
      </w:r>
      <w:r>
        <w:rPr>
          <w:rFonts w:hint="eastAsia"/>
          <w:sz w:val="28"/>
          <w:szCs w:val="28"/>
        </w:rPr>
        <w:t>”</w:t>
      </w:r>
      <w:r>
        <w:rPr>
          <w:sz w:val="28"/>
          <w:szCs w:val="28"/>
        </w:rPr>
        <w:t>城市化战略格局陆桥通道与京广通道交汇区域，是中原城市群联动辐射区重要节点城市。境内现有京沪、陇海两大铁路干线，两条国家级高速公路京台（G3）、连霍（G30），三条安徽省级高速公路泗洪-许昌高速公路（S04、S06）、徐州-明光高速公路（S07）、和济南-祁门高速公路（S21），四条国道纵横穿越。宿州市区南距蚌埠86 km，北距徐州75 km，西北距淮北40 km。全市共管辖一区四县，其中埇桥区位于境内中部，泗县、灵璧县、萧县、砀山县从东南向西北依次分布。宿州市辖埇桥区、泗县、灵璧县、萧县、砀山县，境域东西长161.5 km，南北宽150 km，总面积9939.80km</w:t>
      </w:r>
      <w:r>
        <w:rPr>
          <w:sz w:val="28"/>
          <w:szCs w:val="28"/>
          <w:vertAlign w:val="superscript"/>
        </w:rPr>
        <w:t>2</w:t>
      </w:r>
      <w:r>
        <w:rPr>
          <w:sz w:val="28"/>
          <w:szCs w:val="28"/>
        </w:rPr>
        <w:t>，占全省土地面积的7.1%</w:t>
      </w:r>
      <w:r>
        <w:rPr>
          <w:color w:val="000000" w:themeColor="text1"/>
          <w:sz w:val="28"/>
          <w:szCs w:val="28"/>
          <w14:textFill>
            <w14:solidFill>
              <w14:schemeClr w14:val="tx1"/>
            </w14:solidFill>
          </w14:textFill>
        </w:rPr>
        <w:t>。</w:t>
      </w:r>
    </w:p>
    <w:p>
      <w:pPr>
        <w:spacing w:line="360" w:lineRule="auto"/>
        <w:ind w:firstLine="560" w:firstLineChars="200"/>
        <w:jc w:val="left"/>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宿州市属淮河流域，</w:t>
      </w:r>
      <w:r>
        <w:rPr>
          <w:rFonts w:hint="eastAsia"/>
          <w:color w:val="000000" w:themeColor="text1"/>
          <w:sz w:val="28"/>
          <w:szCs w:val="28"/>
          <w14:textFill>
            <w14:solidFill>
              <w14:schemeClr w14:val="tx1"/>
            </w14:solidFill>
          </w14:textFill>
        </w:rPr>
        <w:t>宿州水系图参见图1-2。</w:t>
      </w:r>
      <w:r>
        <w:rPr>
          <w:color w:val="000000" w:themeColor="text1"/>
          <w:sz w:val="28"/>
          <w:szCs w:val="28"/>
          <w14:textFill>
            <w14:solidFill>
              <w14:schemeClr w14:val="tx1"/>
            </w14:solidFill>
          </w14:textFill>
        </w:rPr>
        <w:t>全市有主要河道70多条，分别属于</w:t>
      </w:r>
      <w:r>
        <w:fldChar w:fldCharType="begin"/>
      </w:r>
      <w:r>
        <w:instrText xml:space="preserve"> HYPERLINK "https://baike.baidu.com/item/%E9%BB%84%E6%B2%B3/5394" \t "_blank" </w:instrText>
      </w:r>
      <w:r>
        <w:fldChar w:fldCharType="separate"/>
      </w:r>
      <w:r>
        <w:rPr>
          <w:color w:val="000000" w:themeColor="text1"/>
          <w:sz w:val="28"/>
          <w:szCs w:val="28"/>
          <w14:textFill>
            <w14:solidFill>
              <w14:schemeClr w14:val="tx1"/>
            </w14:solidFill>
          </w14:textFill>
        </w:rPr>
        <w:t>黄河</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t>、</w:t>
      </w:r>
      <w:r>
        <w:fldChar w:fldCharType="begin"/>
      </w:r>
      <w:r>
        <w:instrText xml:space="preserve"> HYPERLINK "https://baike.baidu.com/item/%E6%B7%AE%E6%B2%B3" \t "_blank" </w:instrText>
      </w:r>
      <w:r>
        <w:fldChar w:fldCharType="separate"/>
      </w:r>
      <w:r>
        <w:rPr>
          <w:color w:val="000000" w:themeColor="text1"/>
          <w:sz w:val="28"/>
          <w:szCs w:val="28"/>
          <w14:textFill>
            <w14:solidFill>
              <w14:schemeClr w14:val="tx1"/>
            </w14:solidFill>
          </w14:textFill>
        </w:rPr>
        <w:t>淮河</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t>水系。较大的河流有浍河、沱河、</w:t>
      </w:r>
      <w:r>
        <w:rPr>
          <w:rFonts w:hint="eastAsia"/>
          <w:color w:val="000000" w:themeColor="text1"/>
          <w:sz w:val="28"/>
          <w:szCs w:val="28"/>
          <w14:textFill>
            <w14:solidFill>
              <w14:schemeClr w14:val="tx1"/>
            </w14:solidFill>
          </w14:textFill>
        </w:rPr>
        <w:t>澥河</w:t>
      </w:r>
      <w:r>
        <w:rPr>
          <w:color w:val="000000" w:themeColor="text1"/>
          <w:sz w:val="28"/>
          <w:szCs w:val="28"/>
          <w14:textFill>
            <w14:solidFill>
              <w14:schemeClr w14:val="tx1"/>
            </w14:solidFill>
          </w14:textFill>
        </w:rPr>
        <w:t>、濉河、奎河、萧濉新河、</w:t>
      </w:r>
      <w:r>
        <w:fldChar w:fldCharType="begin"/>
      </w:r>
      <w:r>
        <w:instrText xml:space="preserve"> HYPERLINK "https://baike.baidu.com/item/%E6%96%B0%E6%B1%B4%E6%B2%B3" \t "_blank" </w:instrText>
      </w:r>
      <w:r>
        <w:fldChar w:fldCharType="separate"/>
      </w:r>
      <w:r>
        <w:rPr>
          <w:color w:val="000000" w:themeColor="text1"/>
          <w:sz w:val="28"/>
          <w:szCs w:val="28"/>
          <w14:textFill>
            <w14:solidFill>
              <w14:schemeClr w14:val="tx1"/>
            </w14:solidFill>
          </w14:textFill>
        </w:rPr>
        <w:t>新汴河</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t>、</w:t>
      </w:r>
      <w:r>
        <w:fldChar w:fldCharType="begin"/>
      </w:r>
      <w:r>
        <w:instrText xml:space="preserve"> HYPERLINK "https://baike.baidu.com/item/%E5%BA%9F%E9%BB%84%E6%B2%B3" \t "_blank" </w:instrText>
      </w:r>
      <w:r>
        <w:fldChar w:fldCharType="separate"/>
      </w:r>
      <w:r>
        <w:rPr>
          <w:color w:val="000000" w:themeColor="text1"/>
          <w:sz w:val="28"/>
          <w:szCs w:val="28"/>
          <w14:textFill>
            <w14:solidFill>
              <w14:schemeClr w14:val="tx1"/>
            </w14:solidFill>
          </w14:textFill>
        </w:rPr>
        <w:t>废黄河</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t>、</w:t>
      </w:r>
      <w:r>
        <w:fldChar w:fldCharType="begin"/>
      </w:r>
      <w:r>
        <w:instrText xml:space="preserve"> HYPERLINK "https://baike.baidu.com/item/%E9%97%B8%E6%B2%B3" \t "_blank" </w:instrText>
      </w:r>
      <w:r>
        <w:fldChar w:fldCharType="separate"/>
      </w:r>
      <w:r>
        <w:rPr>
          <w:color w:val="000000" w:themeColor="text1"/>
          <w:sz w:val="28"/>
          <w:szCs w:val="28"/>
          <w14:textFill>
            <w14:solidFill>
              <w14:schemeClr w14:val="tx1"/>
            </w14:solidFill>
          </w14:textFill>
        </w:rPr>
        <w:t>闸河</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t>、萧濉引河、</w:t>
      </w:r>
      <w:r>
        <w:fldChar w:fldCharType="begin"/>
      </w:r>
      <w:r>
        <w:instrText xml:space="preserve"> HYPERLINK "https://baike.baidu.com/item/%E9%98%8E%E6%B2%B3" \t "_blank" </w:instrText>
      </w:r>
      <w:r>
        <w:fldChar w:fldCharType="separate"/>
      </w:r>
      <w:r>
        <w:rPr>
          <w:color w:val="000000" w:themeColor="text1"/>
          <w:sz w:val="28"/>
          <w:szCs w:val="28"/>
          <w14:textFill>
            <w14:solidFill>
              <w14:schemeClr w14:val="tx1"/>
            </w14:solidFill>
          </w14:textFill>
        </w:rPr>
        <w:t>阎河</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t>、</w:t>
      </w:r>
      <w:r>
        <w:fldChar w:fldCharType="begin"/>
      </w:r>
      <w:r>
        <w:instrText xml:space="preserve"> HYPERLINK "https://baike.baidu.com/item/%E5%AD%A4%E5%B1%B1%E6%B2%B3" \t "_blank" </w:instrText>
      </w:r>
      <w:r>
        <w:fldChar w:fldCharType="separate"/>
      </w:r>
      <w:r>
        <w:rPr>
          <w:color w:val="000000" w:themeColor="text1"/>
          <w:sz w:val="28"/>
          <w:szCs w:val="28"/>
          <w14:textFill>
            <w14:solidFill>
              <w14:schemeClr w14:val="tx1"/>
            </w14:solidFill>
          </w14:textFill>
        </w:rPr>
        <w:t>孤山河</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t>、灌沟河、股河、唐河、浍</w:t>
      </w:r>
      <w:r>
        <w:rPr>
          <w:rFonts w:hint="eastAsia"/>
          <w:color w:val="000000" w:themeColor="text1"/>
          <w:sz w:val="28"/>
          <w:szCs w:val="28"/>
          <w14:textFill>
            <w14:solidFill>
              <w14:schemeClr w14:val="tx1"/>
            </w14:solidFill>
          </w14:textFill>
        </w:rPr>
        <w:t>澥</w:t>
      </w:r>
      <w:r>
        <w:rPr>
          <w:color w:val="000000" w:themeColor="text1"/>
          <w:sz w:val="28"/>
          <w:szCs w:val="28"/>
          <w14:textFill>
            <w14:solidFill>
              <w14:schemeClr w14:val="tx1"/>
            </w14:solidFill>
          </w14:textFill>
        </w:rPr>
        <w:t>河、方河、新河、郎溪河、欧河、新霞河、倒流河、洪河、减河、洪减河、大沙河、王引河、龙河、积谷河、岱河、利民河、湘西河、毛河、港河、萧濉运河、三龙支河、石梁河、龙河、潼河、老濉河、小黄河、小凄河、</w:t>
      </w:r>
      <w:r>
        <w:fldChar w:fldCharType="begin"/>
      </w:r>
      <w:r>
        <w:instrText xml:space="preserve"> HYPERLINK "https://baike.baidu.com/item/%E6%96%B0%E6%BF%89%E6%B2%B3" \t "_blank" </w:instrText>
      </w:r>
      <w:r>
        <w:fldChar w:fldCharType="separate"/>
      </w:r>
      <w:r>
        <w:rPr>
          <w:color w:val="000000" w:themeColor="text1"/>
          <w:sz w:val="28"/>
          <w:szCs w:val="28"/>
          <w14:textFill>
            <w14:solidFill>
              <w14:schemeClr w14:val="tx1"/>
            </w14:solidFill>
          </w14:textFill>
        </w:rPr>
        <w:t>新濉河</w:t>
      </w:r>
      <w:r>
        <w:rPr>
          <w:color w:val="000000" w:themeColor="text1"/>
          <w:sz w:val="28"/>
          <w:szCs w:val="28"/>
          <w14:textFill>
            <w14:solidFill>
              <w14:schemeClr w14:val="tx1"/>
            </w14:solidFill>
          </w14:textFill>
        </w:rPr>
        <w:fldChar w:fldCharType="end"/>
      </w:r>
      <w:r>
        <w:rPr>
          <w:color w:val="000000" w:themeColor="text1"/>
          <w:sz w:val="28"/>
          <w:szCs w:val="28"/>
          <w14:textFill>
            <w14:solidFill>
              <w14:schemeClr w14:val="tx1"/>
            </w14:solidFill>
          </w14:textFill>
        </w:rPr>
        <w:t>、新沱河。</w:t>
      </w:r>
    </w:p>
    <w:p>
      <w:pPr>
        <w:spacing w:line="360" w:lineRule="auto"/>
        <w:ind w:firstLine="560" w:firstLineChars="200"/>
        <w:jc w:val="left"/>
        <w:rPr>
          <w:color w:val="000000" w:themeColor="text1"/>
          <w:sz w:val="28"/>
          <w:szCs w:val="28"/>
          <w14:textFill>
            <w14:solidFill>
              <w14:schemeClr w14:val="tx1"/>
            </w14:solidFill>
          </w14:textFill>
        </w:rPr>
      </w:pPr>
    </w:p>
    <w:p>
      <w:pPr>
        <w:spacing w:line="360" w:lineRule="auto"/>
        <w:jc w:val="center"/>
        <w:rPr>
          <w:color w:val="000000" w:themeColor="text1"/>
          <w:sz w:val="28"/>
          <w:szCs w:val="28"/>
          <w14:textFill>
            <w14:solidFill>
              <w14:schemeClr w14:val="tx1"/>
            </w14:solidFill>
          </w14:textFill>
        </w:rPr>
      </w:pPr>
      <w:r>
        <w:rPr>
          <w:rFonts w:eastAsia="仿宋"/>
          <w:spacing w:val="-8"/>
          <w:kern w:val="0"/>
          <w:szCs w:val="28"/>
        </w:rPr>
        <w:drawing>
          <wp:inline distT="0" distB="0" distL="0" distR="0">
            <wp:extent cx="5648325" cy="7800975"/>
            <wp:effectExtent l="0" t="0" r="9525"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647826" cy="7800286"/>
                    </a:xfrm>
                    <a:prstGeom prst="rect">
                      <a:avLst/>
                    </a:prstGeom>
                    <a:noFill/>
                  </pic:spPr>
                </pic:pic>
              </a:graphicData>
            </a:graphic>
          </wp:inline>
        </w:drawing>
      </w:r>
    </w:p>
    <w:p>
      <w:pPr>
        <w:spacing w:line="360" w:lineRule="auto"/>
        <w:jc w:val="center"/>
        <w:rPr>
          <w:b/>
          <w:bCs/>
          <w:sz w:val="24"/>
        </w:rPr>
        <w:sectPr>
          <w:footerReference r:id="rId10" w:type="default"/>
          <w:pgSz w:w="11906" w:h="16838"/>
          <w:pgMar w:top="1417" w:right="1417" w:bottom="1417" w:left="1417" w:header="227" w:footer="1077" w:gutter="0"/>
          <w:pgNumType w:chapStyle="1"/>
          <w:cols w:space="0" w:num="1"/>
          <w:docGrid w:type="lines" w:linePitch="394" w:charSpace="0"/>
        </w:sectPr>
      </w:pPr>
      <w:r>
        <w:rPr>
          <w:b/>
          <w:bCs/>
          <w:sz w:val="24"/>
        </w:rPr>
        <w:t xml:space="preserve">图1-1  </w:t>
      </w:r>
      <w:r>
        <w:rPr>
          <w:rFonts w:hint="eastAsia"/>
          <w:b/>
          <w:bCs/>
          <w:sz w:val="24"/>
        </w:rPr>
        <w:t>宿州市地理位置图</w:t>
      </w:r>
    </w:p>
    <w:p>
      <w:pPr>
        <w:widowControl/>
        <w:jc w:val="center"/>
        <w:rPr>
          <w:b/>
          <w:szCs w:val="21"/>
        </w:rPr>
      </w:pPr>
      <w:r>
        <w:rPr>
          <w:rFonts w:hint="eastAsia"/>
          <w:b/>
          <w:szCs w:val="21"/>
        </w:rPr>
        <w:drawing>
          <wp:inline distT="0" distB="0" distL="0" distR="0">
            <wp:extent cx="8534400" cy="520065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8534400" cy="5200650"/>
                    </a:xfrm>
                    <a:prstGeom prst="rect">
                      <a:avLst/>
                    </a:prstGeom>
                  </pic:spPr>
                </pic:pic>
              </a:graphicData>
            </a:graphic>
          </wp:inline>
        </w:drawing>
      </w:r>
    </w:p>
    <w:p>
      <w:pPr>
        <w:spacing w:line="360" w:lineRule="auto"/>
        <w:jc w:val="center"/>
        <w:rPr>
          <w:b/>
          <w:bCs/>
          <w:sz w:val="24"/>
        </w:rPr>
        <w:sectPr>
          <w:footerReference r:id="rId11" w:type="default"/>
          <w:pgSz w:w="16838" w:h="11906" w:orient="landscape"/>
          <w:pgMar w:top="1417" w:right="1418" w:bottom="1417" w:left="1418" w:header="227" w:footer="1077" w:gutter="0"/>
          <w:cols w:space="0" w:num="1"/>
          <w:docGrid w:type="lines" w:linePitch="394" w:charSpace="0"/>
        </w:sectPr>
      </w:pPr>
      <w:r>
        <w:rPr>
          <w:b/>
          <w:bCs/>
          <w:sz w:val="24"/>
        </w:rPr>
        <w:t>图1-</w:t>
      </w:r>
      <w:r>
        <w:rPr>
          <w:rFonts w:hint="eastAsia"/>
          <w:b/>
          <w:bCs/>
          <w:sz w:val="24"/>
        </w:rPr>
        <w:t>2</w:t>
      </w:r>
      <w:r>
        <w:rPr>
          <w:b/>
          <w:bCs/>
          <w:sz w:val="24"/>
        </w:rPr>
        <w:t xml:space="preserve">  </w:t>
      </w:r>
      <w:r>
        <w:rPr>
          <w:rFonts w:hint="eastAsia"/>
          <w:b/>
          <w:bCs/>
          <w:sz w:val="24"/>
        </w:rPr>
        <w:t>宿州市水系河流分布图</w:t>
      </w:r>
    </w:p>
    <w:p>
      <w:pPr>
        <w:pStyle w:val="6"/>
        <w:spacing w:before="78" w:after="78"/>
        <w:rPr>
          <w:rFonts w:ascii="Times New Roman" w:hAnsi="Times New Roman"/>
        </w:rPr>
      </w:pPr>
      <w:r>
        <w:rPr>
          <w:rFonts w:hint="eastAsia" w:ascii="Times New Roman" w:hAnsi="Times New Roman"/>
        </w:rPr>
        <w:t xml:space="preserve">1.3.1.2 </w:t>
      </w:r>
      <w:r>
        <w:rPr>
          <w:rFonts w:hint="eastAsia" w:asciiTheme="minorEastAsia" w:hAnsiTheme="minorEastAsia" w:eastAsiaTheme="minorEastAsia"/>
        </w:rPr>
        <w:t>泗县自然条件概况</w:t>
      </w:r>
    </w:p>
    <w:p>
      <w:pPr>
        <w:spacing w:line="360" w:lineRule="auto"/>
        <w:ind w:firstLine="560" w:firstLineChars="200"/>
        <w:jc w:val="left"/>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泗县襟连沿海，背靠中原，与江苏徐州、宿迁接壤，地处长三角一体化发展、淮河生态经济带、淮海经济区协同发展三大国家战略叠加区，是安徽的东北门户。全县总面积1856 km</w:t>
      </w:r>
      <w:r>
        <w:rPr>
          <w:rFonts w:hint="eastAsia"/>
          <w:color w:val="000000" w:themeColor="text1"/>
          <w:sz w:val="28"/>
          <w:szCs w:val="28"/>
          <w:vertAlign w:val="superscript"/>
          <w14:textFill>
            <w14:solidFill>
              <w14:schemeClr w14:val="tx1"/>
            </w14:solidFill>
          </w14:textFill>
        </w:rPr>
        <w:t>2</w:t>
      </w:r>
      <w:r>
        <w:rPr>
          <w:rFonts w:hint="eastAsia"/>
          <w:color w:val="000000" w:themeColor="text1"/>
          <w:sz w:val="28"/>
          <w:szCs w:val="28"/>
          <w14:textFill>
            <w14:solidFill>
              <w14:schemeClr w14:val="tx1"/>
            </w14:solidFill>
          </w14:textFill>
        </w:rPr>
        <w:t>，总人口96.2万人，辖15个乡镇、1个省级经济开发区（泗县当涂现代产业园）。区位优越，交通便捷，343、104国道和303、329省道穿境而过，泗许高速、徐明高速全线贯通，宿淮铁路客货运开通运营。合新高铁、通用机场等项目稳步推进。泗县历史悠久，人文荟萃，早在夏朝即始建制，原为泗州府所在地，古称虹乡、泗州。在全国全省有着独特的世界文化遗产隋唐大运河“唯一”活态遗址、国家级首批非物质文化遗产泗州戏、中国山芋之乡、中国金丝绞瓜之乡、石龙湖国家湿地公园、中国药物布鞋、皖东北革命根据地“七大名片”</w:t>
      </w:r>
      <w:r>
        <w:rPr>
          <w:color w:val="000000" w:themeColor="text1"/>
          <w:sz w:val="28"/>
          <w:szCs w:val="28"/>
          <w14:textFill>
            <w14:solidFill>
              <w14:schemeClr w14:val="tx1"/>
            </w14:solidFill>
          </w14:textFill>
        </w:rPr>
        <w:t>。</w:t>
      </w:r>
      <w:r>
        <w:rPr>
          <w:rFonts w:hint="eastAsia"/>
          <w:color w:val="000000" w:themeColor="text1"/>
          <w:sz w:val="28"/>
          <w:szCs w:val="28"/>
          <w14:textFill>
            <w14:solidFill>
              <w14:schemeClr w14:val="tx1"/>
            </w14:solidFill>
          </w14:textFill>
        </w:rPr>
        <w:t>泗县地理位置图及地表水系图参见图1-3、1-4。</w:t>
      </w:r>
    </w:p>
    <w:p>
      <w:pPr>
        <w:pStyle w:val="6"/>
        <w:spacing w:before="78" w:after="78"/>
        <w:rPr>
          <w:rFonts w:ascii="Times New Roman" w:hAnsi="Times New Roman"/>
        </w:rPr>
      </w:pPr>
      <w:r>
        <w:rPr>
          <w:rFonts w:hint="eastAsia" w:ascii="Times New Roman" w:hAnsi="Times New Roman"/>
        </w:rPr>
        <w:t xml:space="preserve">1.3.1.3 </w:t>
      </w:r>
      <w:r>
        <w:rPr>
          <w:rFonts w:hint="eastAsia" w:asciiTheme="minorEastAsia" w:hAnsiTheme="minorEastAsia" w:eastAsiaTheme="minorEastAsia"/>
        </w:rPr>
        <w:t>大运河宿州段自然条件概况</w:t>
      </w:r>
    </w:p>
    <w:p>
      <w:pPr>
        <w:spacing w:line="360" w:lineRule="auto"/>
        <w:ind w:firstLine="560" w:firstLineChars="200"/>
        <w:jc w:val="left"/>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大运河安徽宿州段在宿州市由西北向东南穿越宿州市全境，全长约140</w:t>
      </w:r>
      <w:r>
        <w:rPr>
          <w:rFonts w:hint="eastAsia"/>
          <w:color w:val="000000" w:themeColor="text1"/>
          <w:sz w:val="28"/>
          <w:szCs w:val="28"/>
          <w14:textFill>
            <w14:solidFill>
              <w14:schemeClr w14:val="tx1"/>
            </w14:solidFill>
          </w14:textFill>
        </w:rPr>
        <w:t>km。</w:t>
      </w:r>
      <w:r>
        <w:rPr>
          <w:color w:val="000000" w:themeColor="text1"/>
          <w:sz w:val="28"/>
          <w:szCs w:val="28"/>
          <w14:textFill>
            <w14:solidFill>
              <w14:schemeClr w14:val="tx1"/>
            </w14:solidFill>
          </w14:textFill>
        </w:rPr>
        <w:t>河道位置至今未有较大变动，目前主要与303省道（泗永公路）重合，道路主要占河道南堤。大运河自宿州市埇桥区（与安徽省淮北市濉溪县接壤）入境，经埇桥区西二铺乡、宿州市区、埇桥区朱仙庄镇、埇桥区大店镇、</w:t>
      </w:r>
      <w:r>
        <w:rPr>
          <w:rFonts w:hint="eastAsia"/>
          <w:color w:val="000000" w:themeColor="text1"/>
          <w:sz w:val="28"/>
          <w:szCs w:val="28"/>
          <w14:textFill>
            <w14:solidFill>
              <w14:schemeClr w14:val="tx1"/>
            </w14:solidFill>
          </w14:textFill>
        </w:rPr>
        <w:t>灵璧县娄庄镇、灵城镇、灵璧经济开发区、虞姬镇</w:t>
      </w:r>
      <w:r>
        <w:rPr>
          <w:color w:val="000000" w:themeColor="text1"/>
          <w:sz w:val="28"/>
          <w:szCs w:val="28"/>
          <w14:textFill>
            <w14:solidFill>
              <w14:schemeClr w14:val="tx1"/>
            </w14:solidFill>
          </w14:textFill>
        </w:rPr>
        <w:t>、泗县</w:t>
      </w:r>
      <w:r>
        <w:rPr>
          <w:rFonts w:hint="eastAsia"/>
          <w:color w:val="000000" w:themeColor="text1"/>
          <w:sz w:val="28"/>
          <w:szCs w:val="28"/>
          <w14:textFill>
            <w14:solidFill>
              <w14:schemeClr w14:val="tx1"/>
            </w14:solidFill>
          </w14:textFill>
        </w:rPr>
        <w:t>长沟、周庄、彭铺，沿泗县303省道北侧穿城东注，向东至开发区曹苗村东头与新濉河交汇</w:t>
      </w:r>
      <w:r>
        <w:rPr>
          <w:color w:val="000000" w:themeColor="text1"/>
          <w:sz w:val="28"/>
          <w:szCs w:val="28"/>
          <w14:textFill>
            <w14:solidFill>
              <w14:schemeClr w14:val="tx1"/>
            </w14:solidFill>
          </w14:textFill>
        </w:rPr>
        <w:t>，进入江苏省泗洪县境内。</w:t>
      </w:r>
      <w:r>
        <w:rPr>
          <w:rFonts w:hint="eastAsia"/>
          <w:color w:val="000000" w:themeColor="text1"/>
          <w:sz w:val="28"/>
          <w:szCs w:val="28"/>
          <w14:textFill>
            <w14:solidFill>
              <w14:schemeClr w14:val="tx1"/>
            </w14:solidFill>
          </w14:textFill>
        </w:rPr>
        <w:t>大运河宿州段河道遗址主要集中在宿州市区和灵璧县，长约93 km；有水再用河道主要集中在泗县境内，长约47 km；其中泗县境内保留的古河道共28 km，基本保持了通济渠原貌，水体仍有保留，并发挥民用灌溉、泄洪作用；此外还有19 km运河河道与新濉河河道重合，经考古调查确定为原隋唐运河航线。大运河宿州段位置图见图1-5。</w:t>
      </w:r>
    </w:p>
    <w:p>
      <w:pPr>
        <w:spacing w:line="360" w:lineRule="auto"/>
        <w:ind w:firstLine="560" w:firstLineChars="200"/>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由灵璧县虞姬墓入泗县境</w:t>
      </w:r>
      <w:r>
        <w:rPr>
          <w:rFonts w:hint="eastAsia"/>
          <w:color w:val="000000" w:themeColor="text1"/>
          <w:sz w:val="28"/>
          <w:szCs w:val="28"/>
          <w14:textFill>
            <w14:solidFill>
              <w14:schemeClr w14:val="tx1"/>
            </w14:solidFill>
          </w14:textFill>
        </w:rPr>
        <w:t>的河段又称小汴河</w:t>
      </w:r>
      <w:r>
        <w:rPr>
          <w:color w:val="000000" w:themeColor="text1"/>
          <w:sz w:val="28"/>
          <w:szCs w:val="28"/>
          <w14:textFill>
            <w14:solidFill>
              <w14:schemeClr w14:val="tx1"/>
            </w14:solidFill>
          </w14:textFill>
        </w:rPr>
        <w:t>，</w:t>
      </w:r>
      <w:r>
        <w:rPr>
          <w:rFonts w:hint="eastAsia"/>
          <w:color w:val="000000" w:themeColor="text1"/>
          <w:sz w:val="28"/>
          <w:szCs w:val="28"/>
          <w14:textFill>
            <w14:solidFill>
              <w14:schemeClr w14:val="tx1"/>
            </w14:solidFill>
          </w14:textFill>
        </w:rPr>
        <w:t>河流</w:t>
      </w:r>
      <w:r>
        <w:rPr>
          <w:color w:val="000000" w:themeColor="text1"/>
          <w:sz w:val="28"/>
          <w:szCs w:val="28"/>
          <w14:textFill>
            <w14:solidFill>
              <w14:schemeClr w14:val="tx1"/>
            </w14:solidFill>
          </w14:textFill>
        </w:rPr>
        <w:t>东经长沟、周庄、彭铺，沿泗宿公路北侧穿城东注。当地人称城东一段为东汴河，城西至唐河一段为西汴河。东汴河经水口魏庄、枯河头、通海店至泗洪县马公店约20</w:t>
      </w:r>
      <w:r>
        <w:rPr>
          <w:rFonts w:hint="eastAsia"/>
          <w:color w:val="000000" w:themeColor="text1"/>
          <w:sz w:val="28"/>
          <w:szCs w:val="28"/>
          <w14:textFill>
            <w14:solidFill>
              <w14:schemeClr w14:val="tx1"/>
            </w14:solidFill>
          </w14:textFill>
        </w:rPr>
        <w:t xml:space="preserve"> </w:t>
      </w:r>
      <w:r>
        <w:rPr>
          <w:color w:val="000000" w:themeColor="text1"/>
          <w:sz w:val="28"/>
          <w:szCs w:val="28"/>
          <w14:textFill>
            <w14:solidFill>
              <w14:schemeClr w14:val="tx1"/>
            </w14:solidFill>
          </w14:textFill>
        </w:rPr>
        <w:t>km与谢家沟（老濉河）水汇合，东流至青阳镇折向东南，经石集、城头至淮头入洪泽湖。东小汴河集水面积13.7</w:t>
      </w:r>
      <w:r>
        <w:rPr>
          <w:rFonts w:hint="eastAsia"/>
          <w:color w:val="000000" w:themeColor="text1"/>
          <w:sz w:val="28"/>
          <w:szCs w:val="28"/>
          <w14:textFill>
            <w14:solidFill>
              <w14:schemeClr w14:val="tx1"/>
            </w14:solidFill>
          </w14:textFill>
        </w:rPr>
        <w:t xml:space="preserve"> </w:t>
      </w:r>
      <w:r>
        <w:rPr>
          <w:color w:val="000000" w:themeColor="text1"/>
          <w:sz w:val="28"/>
          <w:szCs w:val="28"/>
          <w14:textFill>
            <w14:solidFill>
              <w14:schemeClr w14:val="tx1"/>
            </w14:solidFill>
          </w14:textFill>
        </w:rPr>
        <w:t>km</w:t>
      </w:r>
      <w:r>
        <w:rPr>
          <w:color w:val="000000" w:themeColor="text1"/>
          <w:sz w:val="28"/>
          <w:szCs w:val="28"/>
          <w:vertAlign w:val="superscript"/>
          <w14:textFill>
            <w14:solidFill>
              <w14:schemeClr w14:val="tx1"/>
            </w14:solidFill>
          </w14:textFill>
        </w:rPr>
        <w:t>2</w:t>
      </w:r>
      <w:r>
        <w:rPr>
          <w:color w:val="000000" w:themeColor="text1"/>
          <w:sz w:val="28"/>
          <w:szCs w:val="28"/>
          <w14:textFill>
            <w14:solidFill>
              <w14:schemeClr w14:val="tx1"/>
            </w14:solidFill>
          </w14:textFill>
        </w:rPr>
        <w:t>；西小汴河集水面积31.0</w:t>
      </w:r>
      <w:r>
        <w:rPr>
          <w:rFonts w:hint="eastAsia"/>
          <w:color w:val="000000" w:themeColor="text1"/>
          <w:sz w:val="28"/>
          <w:szCs w:val="28"/>
          <w14:textFill>
            <w14:solidFill>
              <w14:schemeClr w14:val="tx1"/>
            </w14:solidFill>
          </w14:textFill>
        </w:rPr>
        <w:t xml:space="preserve"> </w:t>
      </w:r>
      <w:r>
        <w:rPr>
          <w:color w:val="000000" w:themeColor="text1"/>
          <w:sz w:val="28"/>
          <w:szCs w:val="28"/>
          <w14:textFill>
            <w14:solidFill>
              <w14:schemeClr w14:val="tx1"/>
            </w14:solidFill>
          </w14:textFill>
        </w:rPr>
        <w:t>km。流域内汇水面积44.7</w:t>
      </w:r>
      <w:r>
        <w:rPr>
          <w:rFonts w:hint="eastAsia"/>
          <w:color w:val="000000" w:themeColor="text1"/>
          <w:sz w:val="28"/>
          <w:szCs w:val="28"/>
          <w14:textFill>
            <w14:solidFill>
              <w14:schemeClr w14:val="tx1"/>
            </w14:solidFill>
          </w14:textFill>
        </w:rPr>
        <w:t xml:space="preserve"> </w:t>
      </w:r>
      <w:r>
        <w:rPr>
          <w:color w:val="000000" w:themeColor="text1"/>
          <w:sz w:val="28"/>
          <w:szCs w:val="28"/>
          <w14:textFill>
            <w14:solidFill>
              <w14:schemeClr w14:val="tx1"/>
            </w14:solidFill>
          </w14:textFill>
        </w:rPr>
        <w:t>km</w:t>
      </w:r>
      <w:r>
        <w:rPr>
          <w:rFonts w:hint="eastAsia"/>
          <w:color w:val="000000" w:themeColor="text1"/>
          <w:sz w:val="28"/>
          <w:szCs w:val="28"/>
          <w:vertAlign w:val="superscript"/>
          <w14:textFill>
            <w14:solidFill>
              <w14:schemeClr w14:val="tx1"/>
            </w14:solidFill>
          </w14:textFill>
        </w:rPr>
        <w:t>2</w:t>
      </w:r>
      <w:r>
        <w:rPr>
          <w:color w:val="000000" w:themeColor="text1"/>
          <w:sz w:val="28"/>
          <w:szCs w:val="28"/>
          <w14:textFill>
            <w14:solidFill>
              <w14:schemeClr w14:val="tx1"/>
            </w14:solidFill>
          </w14:textFill>
        </w:rPr>
        <w:t>，全长28.80</w:t>
      </w:r>
      <w:r>
        <w:rPr>
          <w:rFonts w:hint="eastAsia"/>
          <w:color w:val="000000" w:themeColor="text1"/>
          <w:sz w:val="28"/>
          <w:szCs w:val="28"/>
          <w14:textFill>
            <w14:solidFill>
              <w14:schemeClr w14:val="tx1"/>
            </w14:solidFill>
          </w14:textFill>
        </w:rPr>
        <w:t xml:space="preserve"> </w:t>
      </w:r>
      <w:r>
        <w:rPr>
          <w:color w:val="000000" w:themeColor="text1"/>
          <w:sz w:val="28"/>
          <w:szCs w:val="28"/>
          <w14:textFill>
            <w14:solidFill>
              <w14:schemeClr w14:val="tx1"/>
            </w14:solidFill>
          </w14:textFill>
        </w:rPr>
        <w:t>km，是石梁河的支流之一。</w:t>
      </w:r>
      <w:r>
        <w:rPr>
          <w:rFonts w:hint="eastAsia"/>
          <w:color w:val="000000" w:themeColor="text1"/>
          <w:sz w:val="28"/>
          <w:szCs w:val="28"/>
          <w14:textFill>
            <w14:solidFill>
              <w14:schemeClr w14:val="tx1"/>
            </w14:solidFill>
          </w14:textFill>
        </w:rPr>
        <w:t>河流位置图见图1-6。</w:t>
      </w:r>
    </w:p>
    <w:p>
      <w:pPr>
        <w:spacing w:line="360" w:lineRule="auto"/>
        <w:jc w:val="center"/>
        <w:rPr>
          <w:color w:val="000000" w:themeColor="text1"/>
          <w:sz w:val="28"/>
          <w:szCs w:val="28"/>
          <w14:textFill>
            <w14:solidFill>
              <w14:schemeClr w14:val="tx1"/>
            </w14:solidFill>
          </w14:textFill>
        </w:rPr>
      </w:pPr>
      <w:r>
        <w:drawing>
          <wp:inline distT="0" distB="0" distL="0" distR="0">
            <wp:extent cx="4533900" cy="4962525"/>
            <wp:effectExtent l="0" t="0" r="0"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9"/>
                    <a:stretch>
                      <a:fillRect/>
                    </a:stretch>
                  </pic:blipFill>
                  <pic:spPr>
                    <a:xfrm>
                      <a:off x="0" y="0"/>
                      <a:ext cx="4533900" cy="4962525"/>
                    </a:xfrm>
                    <a:prstGeom prst="rect">
                      <a:avLst/>
                    </a:prstGeom>
                  </pic:spPr>
                </pic:pic>
              </a:graphicData>
            </a:graphic>
          </wp:inline>
        </w:drawing>
      </w:r>
    </w:p>
    <w:p>
      <w:pPr>
        <w:spacing w:line="360" w:lineRule="auto"/>
        <w:jc w:val="center"/>
        <w:rPr>
          <w:b/>
          <w:bCs/>
          <w:sz w:val="24"/>
        </w:rPr>
      </w:pPr>
      <w:r>
        <w:rPr>
          <w:b/>
          <w:bCs/>
          <w:sz w:val="24"/>
        </w:rPr>
        <w:t>图1-</w:t>
      </w:r>
      <w:r>
        <w:rPr>
          <w:rFonts w:hint="eastAsia"/>
          <w:b/>
          <w:bCs/>
          <w:sz w:val="24"/>
        </w:rPr>
        <w:t>3</w:t>
      </w:r>
      <w:r>
        <w:rPr>
          <w:b/>
          <w:bCs/>
          <w:sz w:val="24"/>
        </w:rPr>
        <w:t xml:space="preserve">  </w:t>
      </w:r>
      <w:r>
        <w:rPr>
          <w:rFonts w:hint="eastAsia"/>
          <w:b/>
          <w:bCs/>
          <w:sz w:val="24"/>
        </w:rPr>
        <w:t>泗县地理位置示意图</w:t>
      </w:r>
    </w:p>
    <w:p>
      <w:pPr>
        <w:spacing w:line="360" w:lineRule="auto"/>
        <w:jc w:val="center"/>
        <w:rPr>
          <w:b/>
          <w:bCs/>
          <w:sz w:val="24"/>
        </w:rPr>
      </w:pPr>
      <w:r>
        <w:drawing>
          <wp:inline distT="0" distB="0" distL="0" distR="0">
            <wp:extent cx="4981575" cy="7115175"/>
            <wp:effectExtent l="0" t="0" r="9525" b="952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0"/>
                    <a:stretch>
                      <a:fillRect/>
                    </a:stretch>
                  </pic:blipFill>
                  <pic:spPr>
                    <a:xfrm>
                      <a:off x="0" y="0"/>
                      <a:ext cx="4980953" cy="7114287"/>
                    </a:xfrm>
                    <a:prstGeom prst="rect">
                      <a:avLst/>
                    </a:prstGeom>
                  </pic:spPr>
                </pic:pic>
              </a:graphicData>
            </a:graphic>
          </wp:inline>
        </w:drawing>
      </w:r>
    </w:p>
    <w:p>
      <w:pPr>
        <w:spacing w:line="360" w:lineRule="auto"/>
        <w:jc w:val="center"/>
        <w:rPr>
          <w:b/>
          <w:bCs/>
          <w:sz w:val="24"/>
        </w:rPr>
      </w:pPr>
      <w:r>
        <w:rPr>
          <w:b/>
          <w:bCs/>
          <w:sz w:val="24"/>
        </w:rPr>
        <w:t>图1-</w:t>
      </w:r>
      <w:r>
        <w:rPr>
          <w:rFonts w:hint="eastAsia"/>
          <w:b/>
          <w:bCs/>
          <w:sz w:val="24"/>
        </w:rPr>
        <w:t>4</w:t>
      </w:r>
      <w:r>
        <w:rPr>
          <w:b/>
          <w:bCs/>
          <w:sz w:val="24"/>
        </w:rPr>
        <w:t xml:space="preserve">  </w:t>
      </w:r>
      <w:r>
        <w:rPr>
          <w:rFonts w:hint="eastAsia"/>
          <w:b/>
          <w:bCs/>
          <w:sz w:val="24"/>
        </w:rPr>
        <w:t>泗县地表水系图</w:t>
      </w:r>
    </w:p>
    <w:p>
      <w:pPr>
        <w:spacing w:line="360" w:lineRule="auto"/>
        <w:jc w:val="center"/>
        <w:rPr>
          <w:b/>
          <w:bCs/>
          <w:sz w:val="24"/>
        </w:rPr>
      </w:pPr>
    </w:p>
    <w:p>
      <w:pPr>
        <w:spacing w:line="360" w:lineRule="auto"/>
        <w:jc w:val="center"/>
        <w:rPr>
          <w:b/>
          <w:bCs/>
          <w:sz w:val="24"/>
        </w:rPr>
        <w:sectPr>
          <w:footerReference r:id="rId12" w:type="default"/>
          <w:pgSz w:w="11906" w:h="16838"/>
          <w:pgMar w:top="1417" w:right="1417" w:bottom="1417" w:left="1417" w:header="227" w:footer="1077" w:gutter="0"/>
          <w:cols w:space="0" w:num="1"/>
          <w:docGrid w:type="lines" w:linePitch="394" w:charSpace="0"/>
        </w:sectPr>
      </w:pPr>
    </w:p>
    <w:p>
      <w:pPr>
        <w:spacing w:line="360" w:lineRule="auto"/>
        <w:jc w:val="center"/>
        <w:rPr>
          <w:rFonts w:ascii="宋体" w:hAnsi="宋体" w:cs="宋体"/>
          <w:b/>
          <w:bCs/>
          <w:szCs w:val="21"/>
        </w:rPr>
      </w:pPr>
      <w:r>
        <w:rPr>
          <w:rFonts w:hint="eastAsia" w:ascii="宋体" w:hAnsi="宋体" w:cs="宋体"/>
          <w:b/>
          <w:bCs/>
          <w:szCs w:val="21"/>
        </w:rPr>
        <w:drawing>
          <wp:inline distT="0" distB="0" distL="0" distR="0">
            <wp:extent cx="4991100" cy="3914775"/>
            <wp:effectExtent l="0" t="0" r="0" b="9525"/>
            <wp:docPr id="2" name="图片 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1"/>
                    <pic:cNvPicPr>
                      <a:picLocks noChangeAspect="1"/>
                    </pic:cNvPicPr>
                  </pic:nvPicPr>
                  <pic:blipFill>
                    <a:blip r:embed="rId31">
                      <a:extLst>
                        <a:ext uri="{28A0092B-C50C-407E-A947-70E740481C1C}">
                          <a14:useLocalDpi xmlns:a14="http://schemas.microsoft.com/office/drawing/2010/main" val="0"/>
                        </a:ext>
                      </a:extLst>
                    </a:blip>
                    <a:srcRect r="14193"/>
                    <a:stretch>
                      <a:fillRect/>
                    </a:stretch>
                  </pic:blipFill>
                  <pic:spPr>
                    <a:xfrm>
                      <a:off x="0" y="0"/>
                      <a:ext cx="5002165" cy="3923454"/>
                    </a:xfrm>
                    <a:prstGeom prst="rect">
                      <a:avLst/>
                    </a:prstGeom>
                    <a:ln>
                      <a:noFill/>
                    </a:ln>
                  </pic:spPr>
                </pic:pic>
              </a:graphicData>
            </a:graphic>
          </wp:inline>
        </w:drawing>
      </w:r>
    </w:p>
    <w:p>
      <w:pPr>
        <w:spacing w:line="360" w:lineRule="auto"/>
        <w:jc w:val="center"/>
        <w:rPr>
          <w:b/>
          <w:bCs/>
          <w:sz w:val="24"/>
        </w:rPr>
      </w:pPr>
      <w:r>
        <w:rPr>
          <w:b/>
          <w:bCs/>
          <w:sz w:val="24"/>
        </w:rPr>
        <w:t>图1-</w:t>
      </w:r>
      <w:r>
        <w:rPr>
          <w:rFonts w:hint="eastAsia"/>
          <w:b/>
          <w:bCs/>
          <w:sz w:val="24"/>
        </w:rPr>
        <w:t>5</w:t>
      </w:r>
      <w:r>
        <w:rPr>
          <w:b/>
          <w:bCs/>
          <w:sz w:val="24"/>
        </w:rPr>
        <w:t xml:space="preserve">  大运河宿州段位置</w:t>
      </w:r>
      <w:r>
        <w:rPr>
          <w:rFonts w:hint="eastAsia"/>
          <w:b/>
          <w:bCs/>
          <w:sz w:val="24"/>
        </w:rPr>
        <w:t>示意图</w:t>
      </w:r>
    </w:p>
    <w:p>
      <w:pPr>
        <w:spacing w:line="360" w:lineRule="auto"/>
        <w:jc w:val="center"/>
        <w:rPr>
          <w:b/>
          <w:bCs/>
          <w:sz w:val="24"/>
        </w:rPr>
      </w:pPr>
    </w:p>
    <w:p>
      <w:pPr>
        <w:jc w:val="center"/>
        <w:rPr>
          <w:rFonts w:eastAsia="仿宋"/>
        </w:rPr>
      </w:pPr>
      <w:r>
        <w:rPr>
          <w:rFonts w:hint="eastAsia" w:eastAsia="仿宋"/>
        </w:rPr>
        <w:drawing>
          <wp:inline distT="0" distB="0" distL="0" distR="0">
            <wp:extent cx="4829175" cy="3876675"/>
            <wp:effectExtent l="0" t="0" r="9525" b="9525"/>
            <wp:docPr id="6" name="图片 6" descr="小汴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小汴河"/>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4829175" cy="3876675"/>
                    </a:xfrm>
                    <a:prstGeom prst="rect">
                      <a:avLst/>
                    </a:prstGeom>
                    <a:noFill/>
                    <a:ln>
                      <a:noFill/>
                    </a:ln>
                    <a:effectLst/>
                  </pic:spPr>
                </pic:pic>
              </a:graphicData>
            </a:graphic>
          </wp:inline>
        </w:drawing>
      </w:r>
    </w:p>
    <w:p>
      <w:pPr>
        <w:spacing w:line="360" w:lineRule="auto"/>
        <w:jc w:val="center"/>
        <w:rPr>
          <w:b/>
          <w:bCs/>
          <w:szCs w:val="21"/>
        </w:rPr>
      </w:pPr>
      <w:r>
        <w:rPr>
          <w:b/>
          <w:bCs/>
          <w:sz w:val="24"/>
        </w:rPr>
        <w:t>图1-</w:t>
      </w:r>
      <w:r>
        <w:rPr>
          <w:rFonts w:hint="eastAsia"/>
          <w:b/>
          <w:bCs/>
          <w:sz w:val="24"/>
        </w:rPr>
        <w:t>6</w:t>
      </w:r>
      <w:r>
        <w:rPr>
          <w:b/>
          <w:bCs/>
          <w:sz w:val="24"/>
        </w:rPr>
        <w:t xml:space="preserve">  小汴河位置</w:t>
      </w:r>
      <w:r>
        <w:rPr>
          <w:rFonts w:hint="eastAsia"/>
          <w:b/>
          <w:bCs/>
          <w:sz w:val="24"/>
        </w:rPr>
        <w:t>示意</w:t>
      </w:r>
      <w:r>
        <w:rPr>
          <w:b/>
          <w:bCs/>
          <w:sz w:val="24"/>
        </w:rPr>
        <w:t>图</w:t>
      </w:r>
    </w:p>
    <w:p>
      <w:pPr>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运河宿州段位于淮北平原上，属暖温带半湿润季风气候，其特点是四季分明、光照充足、温差大、无霜期长，降雨年际、年内变化大，季风气候明显。表现为夏热多雨、冬寒晴燥、秋旱少雨，冷暖和旱涝的转变较为明显。</w:t>
      </w:r>
    </w:p>
    <w:p>
      <w:pPr>
        <w:spacing w:line="360" w:lineRule="auto"/>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年平均气温为14℃～14.4℃，月平均气温1月最低，为-0.6℃～1.0℃，月平均气温7月最高，为27.2℃～27.6℃。无霜期年平均210d左右。多年平均降水量在774～896 mm之间，年际变化大，丰水年可达1500 mm，枯水年不足500 mm，年内分配不均衡，汛期6～9月份降水量占全年的60%以上，而降水最多的月份在7月，降水最少的月份多在12月。夏秋季节多东南风，冬春多东北风，平均风速2.7m/s。</w:t>
      </w:r>
    </w:p>
    <w:p>
      <w:pPr>
        <w:pStyle w:val="25"/>
        <w:spacing w:before="156" w:after="156"/>
        <w:ind w:left="0" w:leftChars="0"/>
      </w:pPr>
      <w:bookmarkStart w:id="7" w:name="_Toc84536497"/>
      <w:r>
        <w:rPr>
          <w:rFonts w:hint="eastAsia"/>
        </w:rPr>
        <w:t>1.3.2 社会经济概况</w:t>
      </w:r>
      <w:bookmarkEnd w:id="7"/>
      <w:bookmarkStart w:id="8" w:name="_Toc23437"/>
      <w:bookmarkStart w:id="9" w:name="_Toc4638"/>
      <w:bookmarkStart w:id="10" w:name="_Toc9132"/>
      <w:bookmarkStart w:id="11" w:name="_Toc10972"/>
    </w:p>
    <w:p>
      <w:pPr>
        <w:spacing w:line="360" w:lineRule="auto"/>
        <w:ind w:firstLine="562" w:firstLineChars="200"/>
        <w:jc w:val="left"/>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（1）区域经济社会概况</w:t>
      </w:r>
      <w:bookmarkEnd w:id="8"/>
      <w:bookmarkEnd w:id="9"/>
      <w:bookmarkEnd w:id="10"/>
      <w:bookmarkEnd w:id="11"/>
    </w:p>
    <w:p>
      <w:pPr>
        <w:spacing w:line="360" w:lineRule="auto"/>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2019年全县地区生产总值（GDP）261.97亿元，按可比价格计算同比增长8.8%。分产业看，第一产业增加值56.86亿元，同比增长3.7%；第二产业增加值78.61亿元，同比增长11.8%；第三产业增加值126.5亿元，同比增长9.2%。三次产业比例由上年的24.0﹕30.5﹕45.5调整为21.7﹕30.0﹕48.3，产业结构得到进一步优化。人均地区生产总值30730元，比上年增加3518元。</w:t>
      </w:r>
    </w:p>
    <w:p>
      <w:pPr>
        <w:spacing w:line="360" w:lineRule="auto"/>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全年城乡居民人均可支配收入17363元，同比增长10.4%。其中，城镇居民人均可支配收入29571元，同比增长8.7%；农村居民人均可支配收入12675元，同比增长10.7%。</w:t>
      </w:r>
      <w:bookmarkStart w:id="12" w:name="_Toc3125"/>
      <w:bookmarkStart w:id="13" w:name="_Toc16187"/>
      <w:bookmarkStart w:id="14" w:name="_Toc24266"/>
      <w:bookmarkStart w:id="15" w:name="_Toc30074"/>
    </w:p>
    <w:p>
      <w:pPr>
        <w:spacing w:line="360" w:lineRule="auto"/>
        <w:ind w:firstLine="562" w:firstLineChars="200"/>
        <w:jc w:val="left"/>
        <w:rPr>
          <w:b/>
          <w:color w:val="000000" w:themeColor="text1"/>
          <w:sz w:val="28"/>
          <w:szCs w:val="28"/>
          <w14:textFill>
            <w14:solidFill>
              <w14:schemeClr w14:val="tx1"/>
            </w14:solidFill>
          </w14:textFill>
        </w:rPr>
      </w:pPr>
    </w:p>
    <w:p>
      <w:pPr>
        <w:spacing w:line="360" w:lineRule="auto"/>
        <w:ind w:firstLine="562" w:firstLineChars="200"/>
        <w:jc w:val="left"/>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（2）经济社会发展态势</w:t>
      </w:r>
      <w:bookmarkEnd w:id="12"/>
      <w:bookmarkEnd w:id="13"/>
      <w:bookmarkEnd w:id="14"/>
      <w:bookmarkEnd w:id="15"/>
    </w:p>
    <w:p>
      <w:pPr>
        <w:spacing w:line="360" w:lineRule="auto"/>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宿州地处淮海经济带、淮河生态经济带两大国家战略区域，《安徽省国民经济和社会发展第十三个五年规划纲要》明确提出建设皖北“四化”协调发展先行区；《安徽省实施长江三角洲区域一体化发展规划纲要行动计划》明确提出“高水平打造皖北承接产业转移集聚区”，皖北振兴迎来更大的挑战与机遇。</w:t>
      </w:r>
    </w:p>
    <w:p>
      <w:pPr>
        <w:spacing w:line="360" w:lineRule="auto"/>
        <w:ind w:firstLine="562" w:firstLineChars="200"/>
        <w:rPr>
          <w:b/>
          <w:bCs/>
          <w:color w:val="000000" w:themeColor="text1"/>
          <w:sz w:val="28"/>
          <w:szCs w:val="28"/>
          <w14:textFill>
            <w14:solidFill>
              <w14:schemeClr w14:val="tx1"/>
            </w14:solidFill>
          </w14:textFill>
        </w:rPr>
      </w:pPr>
      <w:r>
        <w:rPr>
          <w:rFonts w:hint="eastAsia"/>
          <w:b/>
          <w:bCs/>
          <w:color w:val="000000" w:themeColor="text1"/>
          <w:sz w:val="28"/>
          <w:szCs w:val="28"/>
          <w14:textFill>
            <w14:solidFill>
              <w14:schemeClr w14:val="tx1"/>
            </w14:solidFill>
          </w14:textFill>
        </w:rPr>
        <w:t>1）淮河生态经济带发展规划</w:t>
      </w:r>
    </w:p>
    <w:p>
      <w:pPr>
        <w:spacing w:line="360" w:lineRule="auto"/>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2018年10月国务院正式批复该规划，淮河生态经济带正式上升为国家战略。淮河生态经济带涉及江苏、安徽、山东、河南、湖北五省，建设淮安、蚌埠、信阳三个核心城市带动十几个县级城市的发展，形成“一带三核多节点”的空间结构格局，成为我国中东部地区协调发展的示范区。同时将淮河建设成为我国第三条黄金水道，预计货运量超过珠江、仅次于长江的黄金水道；淮河生态经济带也将成为继长三角、珠三角、环渤海之后的第四个增长极，成为改革开放第四个十年经济发展的支撑点。</w:t>
      </w:r>
    </w:p>
    <w:p>
      <w:pPr>
        <w:spacing w:line="360" w:lineRule="auto"/>
        <w:ind w:firstLine="562" w:firstLineChars="200"/>
        <w:rPr>
          <w:b/>
          <w:bCs/>
          <w:color w:val="000000" w:themeColor="text1"/>
          <w:sz w:val="28"/>
          <w:szCs w:val="28"/>
          <w14:textFill>
            <w14:solidFill>
              <w14:schemeClr w14:val="tx1"/>
            </w14:solidFill>
          </w14:textFill>
        </w:rPr>
      </w:pPr>
      <w:r>
        <w:rPr>
          <w:rFonts w:hint="eastAsia"/>
          <w:b/>
          <w:bCs/>
          <w:color w:val="000000" w:themeColor="text1"/>
          <w:sz w:val="28"/>
          <w:szCs w:val="28"/>
          <w14:textFill>
            <w14:solidFill>
              <w14:schemeClr w14:val="tx1"/>
            </w14:solidFill>
          </w14:textFill>
        </w:rPr>
        <w:t>2）长江三角洲区域一体化发展</w:t>
      </w:r>
    </w:p>
    <w:p>
      <w:pPr>
        <w:spacing w:line="360" w:lineRule="auto"/>
        <w:ind w:firstLine="560" w:firstLineChars="200"/>
        <w:rPr>
          <w:rFonts w:ascii="仿宋" w:hAnsi="仿宋" w:cs="仿宋"/>
          <w:color w:val="000000"/>
          <w:spacing w:val="8"/>
          <w:szCs w:val="28"/>
        </w:rPr>
      </w:pPr>
      <w:r>
        <w:rPr>
          <w:rFonts w:hint="eastAsia"/>
          <w:color w:val="000000" w:themeColor="text1"/>
          <w:sz w:val="28"/>
          <w:szCs w:val="28"/>
          <w14:textFill>
            <w14:solidFill>
              <w14:schemeClr w14:val="tx1"/>
            </w14:solidFill>
          </w14:textFill>
        </w:rPr>
        <w:t>目前，《安徽省实施长江三角洲区域一体化发展规划纲要行动计划》，提出高质量推进“一圈五区”建设。其中涉及宿州市的主要为高水平打造皖北承接产业转移集聚区。聚集区主要包括淮北、亳州、宿州、蚌埠和阜阳五市，国土面积占全省的26.10%。新时期下，将充分发挥皖北地区粮食主产区、劳动力、煤电资源、消费市场等优势，在保障国家粮食安全的基础上，有序承接产业转移，打造区域高质量发展新的增长极。①集中集约承接。制定皖北承接产业转移集聚区建设实施方案，遴选一批条件较好的开发区与沪苏浙开展园区结对共建，重点发展现代农业、文化旅游、大健康、医药、农产品加工等特色产业及配套产业，积极承接沪苏浙中心区工程机械、轻工食品、纺织服装等传统产业升级转移，有序承接新型、绿色重化工业，力争骨干企业迁移布点、相关企业配套跟进，实现全产业链高质量承接。②夯实承接基础。紧密结合中原城市群、淮河生态经济带建设，全面提升综合交通运输能力，谋划推进皖北城际轨道和综合运输枢纽建设。提升蚌埠、亳州、宿州、淮北、淮南等城市能级，增强集聚力、带动力。加快推动园区提质增效，补齐配套短板。加强人才队伍建设强化劳动职业技能培训。</w:t>
      </w:r>
    </w:p>
    <w:p>
      <w:pPr>
        <w:spacing w:line="360" w:lineRule="auto"/>
        <w:ind w:firstLine="562" w:firstLineChars="200"/>
        <w:rPr>
          <w:b/>
          <w:bCs/>
          <w:color w:val="000000" w:themeColor="text1"/>
          <w:sz w:val="28"/>
          <w:szCs w:val="28"/>
          <w14:textFill>
            <w14:solidFill>
              <w14:schemeClr w14:val="tx1"/>
            </w14:solidFill>
          </w14:textFill>
        </w:rPr>
      </w:pPr>
      <w:r>
        <w:rPr>
          <w:rFonts w:hint="eastAsia"/>
          <w:b/>
          <w:bCs/>
          <w:color w:val="000000" w:themeColor="text1"/>
          <w:sz w:val="28"/>
          <w:szCs w:val="28"/>
          <w14:textFill>
            <w14:solidFill>
              <w14:schemeClr w14:val="tx1"/>
            </w14:solidFill>
          </w14:textFill>
        </w:rPr>
        <w:t>3）乡村振兴战略</w:t>
      </w:r>
    </w:p>
    <w:p>
      <w:pPr>
        <w:spacing w:line="360" w:lineRule="auto"/>
        <w:ind w:firstLine="560" w:firstLineChars="200"/>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中共安徽省委安徽省人民政府关于推进乡村振兴战略的实施意见》、《安徽省乡村振兴战略规划（2018-2022年）》、《中共宿州市委宿州市人民政府关于推动乡村振兴战略的实施意见》先后发布，对实施乡村振兴战略第一个五年工作做出具体部署，按照“产业兴旺、生态宜居、乡风文明、治理有效、生活富裕”的总要求，以农村改革为动力，以农业供给侧结构性改革为主线，以“国家现代农业示范区、全国农村改革试验区、国家现代农业产业园”为平台，创新实施“1234”战略，着力构建现代农业产业体系、生产体系、经营体系，建立健全城乡融合发展体制机制，统筹推进农村经济建设、政治建设、文化建设、社会建设、生态文明建设</w:t>
      </w:r>
      <w:r>
        <w:rPr>
          <w:color w:val="000000" w:themeColor="text1"/>
          <w:sz w:val="28"/>
          <w:szCs w:val="28"/>
          <w14:textFill>
            <w14:solidFill>
              <w14:schemeClr w14:val="tx1"/>
            </w14:solidFill>
          </w14:textFill>
        </w:rPr>
        <w:t>和党的建设，让农业成为有奔头的产业，让农民成为有吸引力的职业，让农村成为安居乐业的美丽家园。</w:t>
      </w:r>
    </w:p>
    <w:p>
      <w:pPr>
        <w:spacing w:line="360" w:lineRule="auto"/>
        <w:ind w:firstLine="562" w:firstLineChars="200"/>
        <w:rPr>
          <w:b/>
          <w:bCs/>
          <w:color w:val="000000" w:themeColor="text1"/>
          <w:sz w:val="28"/>
          <w:szCs w:val="28"/>
          <w14:textFill>
            <w14:solidFill>
              <w14:schemeClr w14:val="tx1"/>
            </w14:solidFill>
          </w14:textFill>
        </w:rPr>
      </w:pPr>
      <w:r>
        <w:rPr>
          <w:rFonts w:hint="eastAsia"/>
          <w:b/>
          <w:bCs/>
          <w:color w:val="000000" w:themeColor="text1"/>
          <w:sz w:val="28"/>
          <w:szCs w:val="28"/>
          <w14:textFill>
            <w14:solidFill>
              <w14:schemeClr w14:val="tx1"/>
            </w14:solidFill>
          </w14:textFill>
        </w:rPr>
        <w:t>4）新型城镇化发展战略</w:t>
      </w:r>
    </w:p>
    <w:p>
      <w:pPr>
        <w:spacing w:line="360" w:lineRule="auto"/>
        <w:ind w:firstLine="560" w:firstLineChars="200"/>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《宿州市新型城镇化发展规划（2016－2025年）》明确提出推进宿州中心城市由</w:t>
      </w:r>
      <w:r>
        <w:rPr>
          <w:rFonts w:hint="eastAsia"/>
          <w:color w:val="000000" w:themeColor="text1"/>
          <w:sz w:val="28"/>
          <w:szCs w:val="28"/>
          <w14:textFill>
            <w14:solidFill>
              <w14:schemeClr w14:val="tx1"/>
            </w14:solidFill>
          </w14:textFill>
        </w:rPr>
        <w:t>“</w:t>
      </w:r>
      <w:r>
        <w:rPr>
          <w:color w:val="000000" w:themeColor="text1"/>
          <w:sz w:val="28"/>
          <w:szCs w:val="28"/>
          <w14:textFill>
            <w14:solidFill>
              <w14:schemeClr w14:val="tx1"/>
            </w14:solidFill>
          </w14:textFill>
        </w:rPr>
        <w:t>滨河时代</w:t>
      </w:r>
      <w:r>
        <w:rPr>
          <w:rFonts w:hint="eastAsia"/>
          <w:color w:val="000000" w:themeColor="text1"/>
          <w:sz w:val="28"/>
          <w:szCs w:val="28"/>
          <w14:textFill>
            <w14:solidFill>
              <w14:schemeClr w14:val="tx1"/>
            </w14:solidFill>
          </w14:textFill>
        </w:rPr>
        <w:t>”</w:t>
      </w:r>
      <w:r>
        <w:rPr>
          <w:color w:val="000000" w:themeColor="text1"/>
          <w:sz w:val="28"/>
          <w:szCs w:val="28"/>
          <w14:textFill>
            <w14:solidFill>
              <w14:schemeClr w14:val="tx1"/>
            </w14:solidFill>
          </w14:textFill>
        </w:rPr>
        <w:t>向</w:t>
      </w:r>
      <w:r>
        <w:rPr>
          <w:rFonts w:hint="eastAsia"/>
          <w:color w:val="000000" w:themeColor="text1"/>
          <w:sz w:val="28"/>
          <w:szCs w:val="28"/>
          <w14:textFill>
            <w14:solidFill>
              <w14:schemeClr w14:val="tx1"/>
            </w14:solidFill>
          </w14:textFill>
        </w:rPr>
        <w:t>“</w:t>
      </w:r>
      <w:r>
        <w:rPr>
          <w:color w:val="000000" w:themeColor="text1"/>
          <w:sz w:val="28"/>
          <w:szCs w:val="28"/>
          <w14:textFill>
            <w14:solidFill>
              <w14:schemeClr w14:val="tx1"/>
            </w14:solidFill>
          </w14:textFill>
        </w:rPr>
        <w:t>滨湖时代</w:t>
      </w:r>
      <w:r>
        <w:rPr>
          <w:rFonts w:hint="eastAsia"/>
          <w:color w:val="000000" w:themeColor="text1"/>
          <w:sz w:val="28"/>
          <w:szCs w:val="28"/>
          <w14:textFill>
            <w14:solidFill>
              <w14:schemeClr w14:val="tx1"/>
            </w14:solidFill>
          </w14:textFill>
        </w:rPr>
        <w:t>”</w:t>
      </w:r>
      <w:r>
        <w:rPr>
          <w:color w:val="000000" w:themeColor="text1"/>
          <w:sz w:val="28"/>
          <w:szCs w:val="28"/>
          <w14:textFill>
            <w14:solidFill>
              <w14:schemeClr w14:val="tx1"/>
            </w14:solidFill>
          </w14:textFill>
        </w:rPr>
        <w:t>跨越，优化</w:t>
      </w:r>
      <w:r>
        <w:rPr>
          <w:rFonts w:hint="eastAsia"/>
          <w:color w:val="000000" w:themeColor="text1"/>
          <w:sz w:val="28"/>
          <w:szCs w:val="28"/>
          <w14:textFill>
            <w14:solidFill>
              <w14:schemeClr w14:val="tx1"/>
            </w14:solidFill>
          </w14:textFill>
        </w:rPr>
        <w:t>“</w:t>
      </w:r>
      <w:r>
        <w:rPr>
          <w:color w:val="000000" w:themeColor="text1"/>
          <w:sz w:val="28"/>
          <w:szCs w:val="28"/>
          <w14:textFill>
            <w14:solidFill>
              <w14:schemeClr w14:val="tx1"/>
            </w14:solidFill>
          </w14:textFill>
        </w:rPr>
        <w:t>两河三岸，三园抱城</w:t>
      </w:r>
      <w:r>
        <w:rPr>
          <w:rFonts w:hint="eastAsia"/>
          <w:color w:val="000000" w:themeColor="text1"/>
          <w:sz w:val="28"/>
          <w:szCs w:val="28"/>
          <w14:textFill>
            <w14:solidFill>
              <w14:schemeClr w14:val="tx1"/>
            </w14:solidFill>
          </w14:textFill>
        </w:rPr>
        <w:t>”</w:t>
      </w:r>
      <w:r>
        <w:rPr>
          <w:color w:val="000000" w:themeColor="text1"/>
          <w:sz w:val="28"/>
          <w:szCs w:val="28"/>
          <w14:textFill>
            <w14:solidFill>
              <w14:schemeClr w14:val="tx1"/>
            </w14:solidFill>
          </w14:textFill>
        </w:rPr>
        <w:t>城市园林景观，构建</w:t>
      </w:r>
      <w:r>
        <w:rPr>
          <w:rFonts w:hint="eastAsia"/>
          <w:color w:val="000000" w:themeColor="text1"/>
          <w:sz w:val="28"/>
          <w:szCs w:val="28"/>
          <w14:textFill>
            <w14:solidFill>
              <w14:schemeClr w14:val="tx1"/>
            </w14:solidFill>
          </w14:textFill>
        </w:rPr>
        <w:t>“</w:t>
      </w:r>
      <w:r>
        <w:rPr>
          <w:color w:val="000000" w:themeColor="text1"/>
          <w:sz w:val="28"/>
          <w:szCs w:val="28"/>
          <w14:textFill>
            <w14:solidFill>
              <w14:schemeClr w14:val="tx1"/>
            </w14:solidFill>
          </w14:textFill>
        </w:rPr>
        <w:t>绿水穿城、绿楔润城</w:t>
      </w:r>
      <w:r>
        <w:rPr>
          <w:rFonts w:hint="eastAsia"/>
          <w:color w:val="000000" w:themeColor="text1"/>
          <w:sz w:val="28"/>
          <w:szCs w:val="28"/>
          <w14:textFill>
            <w14:solidFill>
              <w14:schemeClr w14:val="tx1"/>
            </w14:solidFill>
          </w14:textFill>
        </w:rPr>
        <w:t>”</w:t>
      </w:r>
      <w:r>
        <w:rPr>
          <w:color w:val="000000" w:themeColor="text1"/>
          <w:sz w:val="28"/>
          <w:szCs w:val="28"/>
          <w14:textFill>
            <w14:solidFill>
              <w14:schemeClr w14:val="tx1"/>
            </w14:solidFill>
          </w14:textFill>
        </w:rPr>
        <w:t>空间格局。建设新汴河、新濉河、古运河三大景观园林带，打造</w:t>
      </w:r>
      <w:r>
        <w:rPr>
          <w:rFonts w:hint="eastAsia"/>
          <w:color w:val="000000" w:themeColor="text1"/>
          <w:sz w:val="28"/>
          <w:szCs w:val="28"/>
          <w14:textFill>
            <w14:solidFill>
              <w14:schemeClr w14:val="tx1"/>
            </w14:solidFill>
          </w14:textFill>
        </w:rPr>
        <w:t>“</w:t>
      </w:r>
      <w:r>
        <w:rPr>
          <w:color w:val="000000" w:themeColor="text1"/>
          <w:sz w:val="28"/>
          <w:szCs w:val="28"/>
          <w14:textFill>
            <w14:solidFill>
              <w14:schemeClr w14:val="tx1"/>
            </w14:solidFill>
          </w14:textFill>
        </w:rPr>
        <w:t>水韵泗州·运河名城</w:t>
      </w:r>
      <w:r>
        <w:rPr>
          <w:rFonts w:hint="eastAsia"/>
          <w:color w:val="000000" w:themeColor="text1"/>
          <w:sz w:val="28"/>
          <w:szCs w:val="28"/>
          <w14:textFill>
            <w14:solidFill>
              <w14:schemeClr w14:val="tx1"/>
            </w14:solidFill>
          </w14:textFill>
        </w:rPr>
        <w:t>”</w:t>
      </w:r>
      <w:r>
        <w:rPr>
          <w:color w:val="000000" w:themeColor="text1"/>
          <w:sz w:val="28"/>
          <w:szCs w:val="28"/>
          <w14:textFill>
            <w14:solidFill>
              <w14:schemeClr w14:val="tx1"/>
            </w14:solidFill>
          </w14:textFill>
        </w:rPr>
        <w:t>城市品牌形象，建设皖北生态宜居运河文化名城。</w:t>
      </w:r>
    </w:p>
    <w:p>
      <w:pPr>
        <w:spacing w:line="360" w:lineRule="auto"/>
        <w:ind w:firstLine="560" w:firstLineChars="200"/>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从上述国家、省级以及市级层面经济发展战略来看，宿州市所处地区上升为国家经济发展的战略，正处在一个新的历史起点，将辐射和带动区域经济社会的快速发展，成为我省经济发展的重要增长区域。同时借助政策导向，城市发展带动乡村发展，区内正处在大发展的机遇期。</w:t>
      </w:r>
    </w:p>
    <w:p>
      <w:pPr>
        <w:pStyle w:val="4"/>
        <w:spacing w:before="312" w:after="312"/>
      </w:pPr>
      <w:bookmarkStart w:id="16" w:name="_Toc84536498"/>
      <w:r>
        <w:rPr>
          <w:rFonts w:hint="eastAsia"/>
        </w:rPr>
        <w:t xml:space="preserve">1.4 </w:t>
      </w:r>
      <w:r>
        <w:rPr>
          <w:rFonts w:hint="eastAsia" w:asciiTheme="minorEastAsia" w:hAnsiTheme="minorEastAsia" w:eastAsiaTheme="minorEastAsia"/>
        </w:rPr>
        <w:t>编制依据</w:t>
      </w:r>
      <w:bookmarkEnd w:id="16"/>
    </w:p>
    <w:p>
      <w:pPr>
        <w:pStyle w:val="25"/>
        <w:spacing w:before="156" w:after="156"/>
        <w:ind w:left="0" w:leftChars="0"/>
      </w:pPr>
      <w:bookmarkStart w:id="17" w:name="_Toc84536499"/>
      <w:r>
        <w:rPr>
          <w:rFonts w:hint="eastAsia"/>
        </w:rPr>
        <w:t>1.4.1 国家有关法律法规及规范性文件</w:t>
      </w:r>
      <w:bookmarkEnd w:id="17"/>
      <w:bookmarkStart w:id="18" w:name="_Toc27795"/>
      <w:bookmarkStart w:id="19" w:name="_Toc19513"/>
      <w:bookmarkStart w:id="20" w:name="_Toc29247"/>
      <w:bookmarkStart w:id="21" w:name="_Toc4484"/>
      <w:bookmarkStart w:id="22" w:name="_Toc31171"/>
    </w:p>
    <w:bookmarkEnd w:id="18"/>
    <w:bookmarkEnd w:id="19"/>
    <w:bookmarkEnd w:id="20"/>
    <w:bookmarkEnd w:id="21"/>
    <w:bookmarkEnd w:id="22"/>
    <w:p>
      <w:pPr>
        <w:pStyle w:val="54"/>
        <w:numPr>
          <w:ilvl w:val="2"/>
          <w:numId w:val="1"/>
        </w:numPr>
        <w:ind w:left="0" w:firstLine="560" w:firstLineChars="200"/>
        <w:rPr>
          <w:rFonts w:ascii="Times New Roman" w:hAnsi="Times New Roman" w:eastAsiaTheme="minorEastAsia"/>
          <w:b w:val="0"/>
        </w:rPr>
      </w:pPr>
      <w:r>
        <w:rPr>
          <w:rFonts w:ascii="Times New Roman" w:hAnsi="Times New Roman" w:eastAsiaTheme="minorEastAsia"/>
          <w:b w:val="0"/>
        </w:rPr>
        <w:t>《中华人民共和国环境保护法》（2015年1月修订）</w:t>
      </w:r>
    </w:p>
    <w:p>
      <w:pPr>
        <w:pStyle w:val="54"/>
        <w:numPr>
          <w:ilvl w:val="2"/>
          <w:numId w:val="1"/>
        </w:numPr>
        <w:ind w:left="0" w:firstLine="560" w:firstLineChars="200"/>
        <w:rPr>
          <w:rFonts w:ascii="Times New Roman" w:hAnsi="Times New Roman" w:eastAsiaTheme="minorEastAsia"/>
          <w:b w:val="0"/>
        </w:rPr>
      </w:pPr>
      <w:r>
        <w:rPr>
          <w:rFonts w:ascii="Times New Roman" w:hAnsi="Times New Roman" w:eastAsiaTheme="minorEastAsia"/>
          <w:b w:val="0"/>
        </w:rPr>
        <w:t>《中华人民共和国水污染防治法》（2017年6月修订）</w:t>
      </w:r>
    </w:p>
    <w:p>
      <w:pPr>
        <w:pStyle w:val="54"/>
        <w:numPr>
          <w:ilvl w:val="2"/>
          <w:numId w:val="1"/>
        </w:numPr>
        <w:ind w:left="0" w:firstLine="560" w:firstLineChars="200"/>
        <w:rPr>
          <w:rFonts w:ascii="Times New Roman" w:hAnsi="Times New Roman" w:eastAsiaTheme="minorEastAsia"/>
          <w:b w:val="0"/>
        </w:rPr>
      </w:pPr>
      <w:r>
        <w:rPr>
          <w:rFonts w:hint="eastAsia" w:ascii="仿宋" w:hAnsi="仿宋" w:eastAsia="仿宋" w:cs="仿宋"/>
          <w:b w:val="0"/>
        </w:rPr>
        <w:t>《</w:t>
      </w:r>
      <w:r>
        <w:rPr>
          <w:rFonts w:ascii="Times New Roman" w:hAnsi="Times New Roman" w:eastAsiaTheme="minorEastAsia"/>
          <w:b w:val="0"/>
        </w:rPr>
        <w:t>中华人民共和国防洪法》（2016年7月修订）</w:t>
      </w:r>
    </w:p>
    <w:p>
      <w:pPr>
        <w:pStyle w:val="54"/>
        <w:numPr>
          <w:ilvl w:val="2"/>
          <w:numId w:val="1"/>
        </w:numPr>
        <w:ind w:left="0" w:firstLine="560" w:firstLineChars="200"/>
        <w:rPr>
          <w:rFonts w:ascii="Times New Roman" w:hAnsi="Times New Roman" w:eastAsiaTheme="minorEastAsia"/>
          <w:b w:val="0"/>
        </w:rPr>
      </w:pPr>
      <w:r>
        <w:rPr>
          <w:rFonts w:ascii="Times New Roman" w:hAnsi="Times New Roman" w:eastAsiaTheme="minorEastAsia"/>
          <w:b w:val="0"/>
        </w:rPr>
        <w:t>《中华人民共和国野生动物保护法》（2016年7月修订）</w:t>
      </w:r>
    </w:p>
    <w:p>
      <w:pPr>
        <w:pStyle w:val="54"/>
        <w:numPr>
          <w:ilvl w:val="2"/>
          <w:numId w:val="1"/>
        </w:numPr>
        <w:ind w:left="0" w:firstLine="560" w:firstLineChars="200"/>
        <w:rPr>
          <w:rFonts w:ascii="Times New Roman" w:hAnsi="Times New Roman" w:eastAsiaTheme="minorEastAsia"/>
          <w:b w:val="0"/>
        </w:rPr>
      </w:pPr>
      <w:r>
        <w:rPr>
          <w:rFonts w:ascii="Times New Roman" w:hAnsi="Times New Roman" w:eastAsiaTheme="minorEastAsia"/>
          <w:b w:val="0"/>
        </w:rPr>
        <w:t>《中华人民共和国渔业法》（201</w:t>
      </w:r>
      <w:r>
        <w:rPr>
          <w:rFonts w:hint="eastAsia" w:ascii="Times New Roman" w:hAnsi="Times New Roman" w:eastAsiaTheme="minorEastAsia"/>
          <w:b w:val="0"/>
        </w:rPr>
        <w:t>3</w:t>
      </w:r>
      <w:r>
        <w:rPr>
          <w:rFonts w:ascii="Times New Roman" w:hAnsi="Times New Roman" w:eastAsiaTheme="minorEastAsia"/>
          <w:b w:val="0"/>
        </w:rPr>
        <w:t>年修</w:t>
      </w:r>
      <w:r>
        <w:rPr>
          <w:rFonts w:hint="eastAsia" w:ascii="Times New Roman" w:hAnsi="Times New Roman" w:eastAsiaTheme="minorEastAsia"/>
          <w:b w:val="0"/>
        </w:rPr>
        <w:t>订</w:t>
      </w:r>
      <w:r>
        <w:rPr>
          <w:rFonts w:ascii="Times New Roman" w:hAnsi="Times New Roman" w:eastAsiaTheme="minorEastAsia"/>
          <w:b w:val="0"/>
        </w:rPr>
        <w:t>）</w:t>
      </w:r>
    </w:p>
    <w:p>
      <w:pPr>
        <w:pStyle w:val="54"/>
        <w:numPr>
          <w:ilvl w:val="2"/>
          <w:numId w:val="1"/>
        </w:numPr>
        <w:ind w:left="0" w:firstLine="560" w:firstLineChars="200"/>
        <w:rPr>
          <w:rFonts w:ascii="Times New Roman" w:hAnsi="Times New Roman" w:eastAsiaTheme="minorEastAsia"/>
          <w:b w:val="0"/>
        </w:rPr>
      </w:pPr>
      <w:r>
        <w:rPr>
          <w:rFonts w:ascii="Times New Roman" w:hAnsi="Times New Roman" w:eastAsiaTheme="minorEastAsia"/>
          <w:b w:val="0"/>
        </w:rPr>
        <w:t>《中华人民共和国河道管理条例》（2017年3月修正版）</w:t>
      </w:r>
    </w:p>
    <w:p>
      <w:pPr>
        <w:pStyle w:val="54"/>
        <w:numPr>
          <w:ilvl w:val="2"/>
          <w:numId w:val="1"/>
        </w:numPr>
        <w:ind w:left="0" w:firstLine="560" w:firstLineChars="200"/>
        <w:rPr>
          <w:rFonts w:ascii="Times New Roman" w:hAnsi="Times New Roman" w:eastAsiaTheme="minorEastAsia"/>
          <w:b w:val="0"/>
        </w:rPr>
      </w:pPr>
      <w:r>
        <w:rPr>
          <w:rFonts w:ascii="Times New Roman" w:hAnsi="Times New Roman" w:eastAsiaTheme="minorEastAsia"/>
          <w:b w:val="0"/>
        </w:rPr>
        <w:t>《中华人民共和国航道管理条例》（2009年1月修订）</w:t>
      </w:r>
    </w:p>
    <w:p>
      <w:pPr>
        <w:pStyle w:val="54"/>
        <w:numPr>
          <w:ilvl w:val="2"/>
          <w:numId w:val="1"/>
        </w:numPr>
        <w:ind w:left="0" w:firstLine="560" w:firstLineChars="200"/>
        <w:rPr>
          <w:rFonts w:ascii="Times New Roman" w:hAnsi="Times New Roman" w:eastAsiaTheme="minorEastAsia"/>
          <w:b w:val="0"/>
        </w:rPr>
      </w:pPr>
      <w:r>
        <w:rPr>
          <w:rFonts w:ascii="Times New Roman" w:hAnsi="Times New Roman" w:eastAsiaTheme="minorEastAsia"/>
          <w:b w:val="0"/>
        </w:rPr>
        <w:t>《中华人民共和国自然保护区条例》（2017年10月修订）</w:t>
      </w:r>
    </w:p>
    <w:p>
      <w:pPr>
        <w:pStyle w:val="54"/>
        <w:numPr>
          <w:ilvl w:val="2"/>
          <w:numId w:val="1"/>
        </w:numPr>
        <w:ind w:left="0" w:firstLine="560" w:firstLineChars="200"/>
        <w:rPr>
          <w:rFonts w:ascii="Times New Roman" w:hAnsi="Times New Roman" w:eastAsiaTheme="minorEastAsia"/>
          <w:b w:val="0"/>
        </w:rPr>
      </w:pPr>
      <w:r>
        <w:rPr>
          <w:rFonts w:hint="eastAsia" w:ascii="Times New Roman" w:hAnsi="Times New Roman" w:eastAsiaTheme="minorEastAsia"/>
          <w:b w:val="0"/>
        </w:rPr>
        <w:t>《国务院关于印发水污染防治行动计划的通知》（国发〔2015〕17号）</w:t>
      </w:r>
    </w:p>
    <w:p>
      <w:pPr>
        <w:pStyle w:val="54"/>
        <w:numPr>
          <w:ilvl w:val="2"/>
          <w:numId w:val="1"/>
        </w:numPr>
        <w:ind w:left="0" w:firstLine="560" w:firstLineChars="200"/>
        <w:rPr>
          <w:rFonts w:ascii="Times New Roman" w:hAnsi="Times New Roman" w:eastAsiaTheme="minorEastAsia"/>
          <w:b w:val="0"/>
        </w:rPr>
      </w:pPr>
      <w:r>
        <w:rPr>
          <w:rFonts w:ascii="Times New Roman" w:hAnsi="Times New Roman" w:eastAsiaTheme="minorEastAsia"/>
          <w:b w:val="0"/>
        </w:rPr>
        <w:t>《河道管理范围内建设项目管理的有关规定》</w:t>
      </w:r>
      <w:r>
        <w:rPr>
          <w:rFonts w:hint="eastAsia" w:ascii="Times New Roman" w:hAnsi="Times New Roman" w:eastAsiaTheme="minorEastAsia"/>
          <w:b w:val="0"/>
        </w:rPr>
        <w:t>（2017年修正）</w:t>
      </w:r>
    </w:p>
    <w:p>
      <w:pPr>
        <w:pStyle w:val="54"/>
        <w:numPr>
          <w:ilvl w:val="2"/>
          <w:numId w:val="1"/>
        </w:numPr>
        <w:ind w:left="0" w:firstLine="560" w:firstLineChars="200"/>
        <w:rPr>
          <w:rFonts w:ascii="Times New Roman" w:hAnsi="Times New Roman" w:eastAsiaTheme="minorEastAsia"/>
          <w:b w:val="0"/>
        </w:rPr>
      </w:pPr>
      <w:r>
        <w:rPr>
          <w:rFonts w:ascii="Times New Roman" w:hAnsi="Times New Roman" w:eastAsiaTheme="minorEastAsia"/>
          <w:b w:val="0"/>
        </w:rPr>
        <w:t>《水产种质资源保护区管理暂行办法》（201</w:t>
      </w:r>
      <w:r>
        <w:rPr>
          <w:rFonts w:hint="eastAsia" w:ascii="Times New Roman" w:hAnsi="Times New Roman" w:eastAsiaTheme="minorEastAsia"/>
          <w:b w:val="0"/>
        </w:rPr>
        <w:t>1</w:t>
      </w:r>
      <w:r>
        <w:rPr>
          <w:rFonts w:ascii="Times New Roman" w:hAnsi="Times New Roman" w:eastAsiaTheme="minorEastAsia"/>
          <w:b w:val="0"/>
        </w:rPr>
        <w:t>年</w:t>
      </w:r>
      <w:r>
        <w:rPr>
          <w:rFonts w:hint="eastAsia" w:ascii="Times New Roman" w:hAnsi="Times New Roman" w:eastAsiaTheme="minorEastAsia"/>
          <w:b w:val="0"/>
        </w:rPr>
        <w:t>3</w:t>
      </w:r>
      <w:r>
        <w:rPr>
          <w:rFonts w:ascii="Times New Roman" w:hAnsi="Times New Roman" w:eastAsiaTheme="minorEastAsia"/>
          <w:b w:val="0"/>
        </w:rPr>
        <w:t>月）</w:t>
      </w:r>
    </w:p>
    <w:p>
      <w:pPr>
        <w:pStyle w:val="54"/>
        <w:numPr>
          <w:ilvl w:val="2"/>
          <w:numId w:val="1"/>
        </w:numPr>
        <w:ind w:left="0" w:firstLine="560" w:firstLineChars="200"/>
        <w:rPr>
          <w:rFonts w:ascii="Times New Roman" w:hAnsi="Times New Roman" w:eastAsiaTheme="minorEastAsia"/>
          <w:b w:val="0"/>
        </w:rPr>
      </w:pPr>
      <w:r>
        <w:rPr>
          <w:rFonts w:ascii="Times New Roman" w:hAnsi="Times New Roman" w:eastAsiaTheme="minorEastAsia"/>
          <w:b w:val="0"/>
        </w:rPr>
        <w:t>《自然生态空间用途管制办法（试行）》</w:t>
      </w:r>
      <w:r>
        <w:rPr>
          <w:rFonts w:hint="eastAsia" w:ascii="Times New Roman" w:hAnsi="Times New Roman" w:eastAsiaTheme="minorEastAsia"/>
          <w:b w:val="0"/>
        </w:rPr>
        <w:t>（2017年3月）</w:t>
      </w:r>
    </w:p>
    <w:p>
      <w:pPr>
        <w:pStyle w:val="54"/>
        <w:numPr>
          <w:ilvl w:val="2"/>
          <w:numId w:val="1"/>
        </w:numPr>
        <w:ind w:left="0" w:firstLine="560" w:firstLineChars="200"/>
        <w:rPr>
          <w:rFonts w:ascii="Times New Roman" w:hAnsi="Times New Roman" w:eastAsiaTheme="minorEastAsia"/>
          <w:b w:val="0"/>
        </w:rPr>
      </w:pPr>
      <w:r>
        <w:rPr>
          <w:rFonts w:ascii="Times New Roman" w:hAnsi="Times New Roman" w:eastAsiaTheme="minorEastAsia"/>
          <w:b w:val="0"/>
        </w:rPr>
        <w:t>《公路安全保护条例》</w:t>
      </w:r>
      <w:r>
        <w:rPr>
          <w:rFonts w:hint="eastAsia" w:ascii="Times New Roman" w:hAnsi="Times New Roman" w:eastAsiaTheme="minorEastAsia"/>
          <w:b w:val="0"/>
        </w:rPr>
        <w:t>（2011年7月）</w:t>
      </w:r>
    </w:p>
    <w:p>
      <w:pPr>
        <w:pStyle w:val="54"/>
        <w:numPr>
          <w:ilvl w:val="2"/>
          <w:numId w:val="1"/>
        </w:numPr>
        <w:ind w:left="0" w:firstLine="560" w:firstLineChars="200"/>
        <w:rPr>
          <w:rFonts w:ascii="Times New Roman" w:hAnsi="Times New Roman" w:eastAsiaTheme="minorEastAsia"/>
          <w:b w:val="0"/>
        </w:rPr>
      </w:pPr>
      <w:r>
        <w:rPr>
          <w:rFonts w:ascii="Times New Roman" w:hAnsi="Times New Roman" w:eastAsiaTheme="minorEastAsia"/>
          <w:b w:val="0"/>
        </w:rPr>
        <w:t>《水利部关于加快推进河湖管理范围划定工作的通知》（水河湖[2018]314号）</w:t>
      </w:r>
    </w:p>
    <w:p>
      <w:pPr>
        <w:pStyle w:val="25"/>
        <w:spacing w:before="156" w:after="156"/>
        <w:ind w:left="0" w:leftChars="0"/>
      </w:pPr>
      <w:bookmarkStart w:id="23" w:name="_bookmark43"/>
      <w:bookmarkEnd w:id="23"/>
      <w:bookmarkStart w:id="24" w:name="_Toc14357"/>
      <w:bookmarkStart w:id="25" w:name="_Toc5625"/>
      <w:bookmarkStart w:id="26" w:name="_Toc16372"/>
      <w:bookmarkStart w:id="27" w:name="_Toc84536500"/>
      <w:bookmarkStart w:id="28" w:name="_Toc6750"/>
      <w:bookmarkStart w:id="29" w:name="_Toc575"/>
      <w:r>
        <w:rPr>
          <w:rFonts w:hint="eastAsia"/>
        </w:rPr>
        <w:t>1.4.2 地方有关法律法规及规范性文件</w:t>
      </w:r>
      <w:bookmarkEnd w:id="24"/>
      <w:bookmarkEnd w:id="25"/>
      <w:bookmarkEnd w:id="26"/>
      <w:bookmarkEnd w:id="27"/>
      <w:bookmarkEnd w:id="28"/>
      <w:bookmarkEnd w:id="29"/>
    </w:p>
    <w:p>
      <w:pPr>
        <w:pStyle w:val="54"/>
        <w:numPr>
          <w:ilvl w:val="0"/>
          <w:numId w:val="2"/>
        </w:numPr>
        <w:ind w:left="0" w:firstLine="560" w:firstLineChars="200"/>
        <w:rPr>
          <w:rFonts w:ascii="Times New Roman" w:hAnsi="Times New Roman" w:eastAsiaTheme="minorEastAsia"/>
          <w:b w:val="0"/>
        </w:rPr>
      </w:pPr>
      <w:r>
        <w:rPr>
          <w:rFonts w:ascii="Times New Roman" w:hAnsi="Times New Roman" w:eastAsiaTheme="minorEastAsia"/>
          <w:b w:val="0"/>
        </w:rPr>
        <w:t>《安徽省水工程管理和保护条例》</w:t>
      </w:r>
      <w:r>
        <w:rPr>
          <w:rFonts w:hint="eastAsia" w:ascii="Times New Roman" w:hAnsi="Times New Roman" w:eastAsiaTheme="minorEastAsia"/>
          <w:b w:val="0"/>
        </w:rPr>
        <w:t>（2005年12月）</w:t>
      </w:r>
    </w:p>
    <w:p>
      <w:pPr>
        <w:pStyle w:val="54"/>
        <w:numPr>
          <w:ilvl w:val="0"/>
          <w:numId w:val="2"/>
        </w:numPr>
        <w:ind w:left="0" w:firstLine="560" w:firstLineChars="200"/>
        <w:rPr>
          <w:rFonts w:ascii="Times New Roman" w:hAnsi="Times New Roman" w:eastAsiaTheme="minorEastAsia"/>
          <w:b w:val="0"/>
        </w:rPr>
      </w:pPr>
      <w:r>
        <w:rPr>
          <w:rFonts w:ascii="Times New Roman" w:hAnsi="Times New Roman" w:eastAsiaTheme="minorEastAsia"/>
          <w:b w:val="0"/>
        </w:rPr>
        <w:t>《安徽省实施〈中华人民共和国河道管理条例〉办法》</w:t>
      </w:r>
      <w:r>
        <w:rPr>
          <w:rFonts w:hint="eastAsia" w:ascii="Times New Roman" w:hAnsi="Times New Roman" w:eastAsiaTheme="minorEastAsia"/>
          <w:b w:val="0"/>
        </w:rPr>
        <w:t>（1991年10月）</w:t>
      </w:r>
    </w:p>
    <w:p>
      <w:pPr>
        <w:pStyle w:val="54"/>
        <w:numPr>
          <w:ilvl w:val="0"/>
          <w:numId w:val="2"/>
        </w:numPr>
        <w:ind w:left="0" w:firstLine="560" w:firstLineChars="200"/>
        <w:rPr>
          <w:rFonts w:ascii="Times New Roman" w:hAnsi="Times New Roman" w:eastAsiaTheme="minorEastAsia"/>
          <w:b w:val="0"/>
        </w:rPr>
      </w:pPr>
      <w:r>
        <w:rPr>
          <w:rFonts w:ascii="Times New Roman" w:hAnsi="Times New Roman" w:eastAsiaTheme="minorEastAsia"/>
          <w:b w:val="0"/>
        </w:rPr>
        <w:t>《安徽省河道及水工程管理范围内建设项目管理办法（试行）》</w:t>
      </w:r>
      <w:r>
        <w:rPr>
          <w:rFonts w:hint="eastAsia" w:ascii="Times New Roman" w:hAnsi="Times New Roman" w:eastAsiaTheme="minorEastAsia"/>
          <w:b w:val="0"/>
        </w:rPr>
        <w:t>（2005年4月）</w:t>
      </w:r>
    </w:p>
    <w:p>
      <w:pPr>
        <w:pStyle w:val="54"/>
        <w:numPr>
          <w:ilvl w:val="0"/>
          <w:numId w:val="2"/>
        </w:numPr>
        <w:ind w:left="0" w:firstLine="560" w:firstLineChars="200"/>
        <w:rPr>
          <w:rFonts w:ascii="Times New Roman" w:hAnsi="Times New Roman" w:eastAsiaTheme="minorEastAsia"/>
          <w:b w:val="0"/>
        </w:rPr>
      </w:pPr>
      <w:r>
        <w:rPr>
          <w:rFonts w:ascii="Times New Roman" w:hAnsi="Times New Roman" w:eastAsiaTheme="minorEastAsia"/>
          <w:b w:val="0"/>
        </w:rPr>
        <w:t>《安徽省饮用水水源环境保护条例》</w:t>
      </w:r>
      <w:r>
        <w:rPr>
          <w:rFonts w:hint="eastAsia" w:ascii="Times New Roman" w:hAnsi="Times New Roman" w:eastAsiaTheme="minorEastAsia"/>
          <w:b w:val="0"/>
        </w:rPr>
        <w:t>（2016年10月）</w:t>
      </w:r>
    </w:p>
    <w:p>
      <w:pPr>
        <w:pStyle w:val="54"/>
        <w:numPr>
          <w:ilvl w:val="0"/>
          <w:numId w:val="2"/>
        </w:numPr>
        <w:ind w:left="0" w:firstLine="560" w:firstLineChars="200"/>
        <w:rPr>
          <w:rFonts w:ascii="Times New Roman" w:hAnsi="Times New Roman" w:eastAsiaTheme="minorEastAsia"/>
          <w:b w:val="0"/>
        </w:rPr>
      </w:pPr>
      <w:r>
        <w:rPr>
          <w:rFonts w:ascii="Times New Roman" w:hAnsi="Times New Roman" w:eastAsiaTheme="minorEastAsia"/>
          <w:b w:val="0"/>
        </w:rPr>
        <w:t>《安徽省湿地保护条例》</w:t>
      </w:r>
      <w:r>
        <w:rPr>
          <w:rFonts w:hint="eastAsia" w:ascii="Times New Roman" w:hAnsi="Times New Roman" w:eastAsiaTheme="minorEastAsia"/>
          <w:b w:val="0"/>
        </w:rPr>
        <w:t>（2018年修正）</w:t>
      </w:r>
    </w:p>
    <w:p>
      <w:pPr>
        <w:pStyle w:val="54"/>
        <w:numPr>
          <w:ilvl w:val="0"/>
          <w:numId w:val="2"/>
        </w:numPr>
        <w:ind w:left="0" w:firstLine="560" w:firstLineChars="200"/>
        <w:rPr>
          <w:rFonts w:ascii="Times New Roman" w:hAnsi="Times New Roman" w:eastAsiaTheme="minorEastAsia"/>
          <w:b w:val="0"/>
        </w:rPr>
      </w:pPr>
      <w:r>
        <w:rPr>
          <w:rFonts w:ascii="Times New Roman" w:hAnsi="Times New Roman" w:eastAsiaTheme="minorEastAsia"/>
          <w:b w:val="0"/>
        </w:rPr>
        <w:t>《安徽省城镇供水条例》</w:t>
      </w:r>
      <w:r>
        <w:rPr>
          <w:rFonts w:hint="eastAsia" w:ascii="Times New Roman" w:hAnsi="Times New Roman" w:eastAsiaTheme="minorEastAsia"/>
          <w:b w:val="0"/>
        </w:rPr>
        <w:t>（2012年7月）</w:t>
      </w:r>
    </w:p>
    <w:p>
      <w:pPr>
        <w:pStyle w:val="54"/>
        <w:numPr>
          <w:ilvl w:val="0"/>
          <w:numId w:val="2"/>
        </w:numPr>
        <w:ind w:left="0" w:firstLine="560" w:firstLineChars="200"/>
        <w:rPr>
          <w:rFonts w:ascii="Times New Roman" w:hAnsi="Times New Roman" w:eastAsiaTheme="minorEastAsia"/>
          <w:b w:val="0"/>
        </w:rPr>
      </w:pPr>
      <w:r>
        <w:rPr>
          <w:rFonts w:ascii="Times New Roman" w:hAnsi="Times New Roman" w:eastAsiaTheme="minorEastAsia"/>
          <w:b w:val="0"/>
        </w:rPr>
        <w:t>《安徽省水文条例》</w:t>
      </w:r>
      <w:r>
        <w:rPr>
          <w:rFonts w:hint="eastAsia" w:ascii="Times New Roman" w:hAnsi="Times New Roman" w:eastAsiaTheme="minorEastAsia"/>
          <w:b w:val="0"/>
        </w:rPr>
        <w:t>（2011年1月）</w:t>
      </w:r>
    </w:p>
    <w:p>
      <w:pPr>
        <w:pStyle w:val="54"/>
        <w:numPr>
          <w:ilvl w:val="0"/>
          <w:numId w:val="2"/>
        </w:numPr>
        <w:ind w:left="0" w:firstLine="560" w:firstLineChars="200"/>
        <w:rPr>
          <w:rFonts w:ascii="Times New Roman" w:hAnsi="Times New Roman" w:eastAsiaTheme="minorEastAsia"/>
          <w:b w:val="0"/>
        </w:rPr>
      </w:pPr>
      <w:r>
        <w:rPr>
          <w:rFonts w:hint="eastAsia" w:ascii="Times New Roman" w:hAnsi="Times New Roman" w:eastAsiaTheme="minorEastAsia"/>
          <w:b w:val="0"/>
        </w:rPr>
        <w:t>《安徽省水污染防治工作方案》（2</w:t>
      </w:r>
      <w:r>
        <w:rPr>
          <w:rFonts w:ascii="Times New Roman" w:hAnsi="Times New Roman" w:eastAsiaTheme="minorEastAsia"/>
          <w:b w:val="0"/>
        </w:rPr>
        <w:t>016</w:t>
      </w:r>
      <w:r>
        <w:rPr>
          <w:rFonts w:hint="eastAsia" w:ascii="Times New Roman" w:hAnsi="Times New Roman" w:eastAsiaTheme="minorEastAsia"/>
          <w:b w:val="0"/>
        </w:rPr>
        <w:t>年）</w:t>
      </w:r>
    </w:p>
    <w:p>
      <w:pPr>
        <w:pStyle w:val="54"/>
        <w:numPr>
          <w:ilvl w:val="0"/>
          <w:numId w:val="2"/>
        </w:numPr>
        <w:ind w:left="0" w:firstLine="560" w:firstLineChars="200"/>
        <w:rPr>
          <w:rFonts w:ascii="Times New Roman" w:hAnsi="Times New Roman" w:eastAsiaTheme="minorEastAsia"/>
          <w:b w:val="0"/>
        </w:rPr>
      </w:pPr>
      <w:r>
        <w:rPr>
          <w:rFonts w:ascii="Times New Roman" w:hAnsi="Times New Roman" w:eastAsiaTheme="minorEastAsia"/>
          <w:b w:val="0"/>
        </w:rPr>
        <w:t>《长江经济带发展负面清单指南（试行）》</w:t>
      </w:r>
      <w:r>
        <w:rPr>
          <w:rFonts w:hint="eastAsia" w:ascii="Times New Roman" w:hAnsi="Times New Roman" w:eastAsiaTheme="minorEastAsia"/>
          <w:b w:val="0"/>
        </w:rPr>
        <w:t>（2019年2月）</w:t>
      </w:r>
    </w:p>
    <w:p>
      <w:pPr>
        <w:pStyle w:val="54"/>
        <w:numPr>
          <w:ilvl w:val="0"/>
          <w:numId w:val="2"/>
        </w:numPr>
        <w:ind w:left="0" w:firstLine="560" w:firstLineChars="200"/>
        <w:rPr>
          <w:rFonts w:ascii="Times New Roman" w:hAnsi="Times New Roman" w:eastAsiaTheme="minorEastAsia"/>
          <w:b w:val="0"/>
        </w:rPr>
      </w:pPr>
      <w:r>
        <w:rPr>
          <w:rFonts w:ascii="Times New Roman" w:hAnsi="Times New Roman" w:eastAsiaTheme="minorEastAsia"/>
          <w:b w:val="0"/>
        </w:rPr>
        <w:t>《安徽省长江经济带发展负面清单实施细则（试行）》（皖长江办[2019]18号）</w:t>
      </w:r>
    </w:p>
    <w:p>
      <w:pPr>
        <w:pStyle w:val="25"/>
        <w:spacing w:before="156" w:after="156"/>
        <w:ind w:left="0" w:leftChars="0"/>
      </w:pPr>
      <w:bookmarkStart w:id="30" w:name="_bookmark44"/>
      <w:bookmarkEnd w:id="30"/>
      <w:bookmarkStart w:id="31" w:name="_Toc23439"/>
      <w:bookmarkStart w:id="32" w:name="_Toc12244"/>
      <w:bookmarkStart w:id="33" w:name="_Toc19260"/>
      <w:bookmarkStart w:id="34" w:name="_Toc31272"/>
      <w:bookmarkStart w:id="35" w:name="_Toc32285"/>
      <w:bookmarkStart w:id="36" w:name="_Toc84536501"/>
      <w:r>
        <w:rPr>
          <w:rFonts w:hint="eastAsia"/>
        </w:rPr>
        <w:t>1.4.3 标准、规范</w:t>
      </w:r>
      <w:bookmarkEnd w:id="31"/>
      <w:bookmarkEnd w:id="32"/>
      <w:bookmarkEnd w:id="33"/>
      <w:bookmarkEnd w:id="34"/>
      <w:bookmarkEnd w:id="35"/>
      <w:r>
        <w:rPr>
          <w:rFonts w:hint="eastAsia"/>
        </w:rPr>
        <w:t>及指南</w:t>
      </w:r>
      <w:bookmarkEnd w:id="36"/>
    </w:p>
    <w:p>
      <w:pPr>
        <w:pStyle w:val="54"/>
        <w:numPr>
          <w:ilvl w:val="0"/>
          <w:numId w:val="3"/>
        </w:numPr>
        <w:ind w:left="0" w:firstLine="560" w:firstLineChars="200"/>
        <w:rPr>
          <w:rFonts w:ascii="Times New Roman" w:hAnsi="Times New Roman" w:eastAsiaTheme="minorEastAsia"/>
          <w:b w:val="0"/>
        </w:rPr>
      </w:pPr>
      <w:r>
        <w:rPr>
          <w:rFonts w:ascii="Times New Roman" w:hAnsi="Times New Roman" w:eastAsiaTheme="minorEastAsia"/>
          <w:b w:val="0"/>
        </w:rPr>
        <w:t>《河湖岸线保护与利用规划编制指南（试行）》》（办河湖函[2019]394号）</w:t>
      </w:r>
    </w:p>
    <w:p>
      <w:pPr>
        <w:pStyle w:val="54"/>
        <w:numPr>
          <w:ilvl w:val="0"/>
          <w:numId w:val="3"/>
        </w:numPr>
        <w:ind w:left="0" w:firstLine="560" w:firstLineChars="200"/>
        <w:rPr>
          <w:rFonts w:ascii="Times New Roman" w:hAnsi="Times New Roman" w:eastAsiaTheme="minorEastAsia"/>
          <w:b w:val="0"/>
        </w:rPr>
      </w:pPr>
      <w:r>
        <w:rPr>
          <w:rFonts w:hint="eastAsia" w:ascii="Times New Roman" w:hAnsi="Times New Roman" w:eastAsiaTheme="minorEastAsia"/>
          <w:b w:val="0"/>
        </w:rPr>
        <w:t>《防洪标准》（GB50201-2014）</w:t>
      </w:r>
    </w:p>
    <w:p>
      <w:pPr>
        <w:pStyle w:val="54"/>
        <w:numPr>
          <w:ilvl w:val="0"/>
          <w:numId w:val="3"/>
        </w:numPr>
        <w:ind w:left="0" w:firstLine="560" w:firstLineChars="200"/>
        <w:rPr>
          <w:rFonts w:ascii="Times New Roman" w:hAnsi="Times New Roman" w:eastAsiaTheme="minorEastAsia"/>
          <w:b w:val="0"/>
        </w:rPr>
      </w:pPr>
      <w:r>
        <w:rPr>
          <w:rFonts w:hint="eastAsia" w:ascii="Times New Roman" w:hAnsi="Times New Roman" w:eastAsiaTheme="minorEastAsia"/>
          <w:b w:val="0"/>
        </w:rPr>
        <w:t>《内河通航标准》（GB50139-2014）</w:t>
      </w:r>
    </w:p>
    <w:p>
      <w:pPr>
        <w:pStyle w:val="54"/>
        <w:numPr>
          <w:ilvl w:val="0"/>
          <w:numId w:val="3"/>
        </w:numPr>
        <w:ind w:left="0" w:firstLine="560" w:firstLineChars="200"/>
        <w:rPr>
          <w:rFonts w:ascii="Times New Roman" w:hAnsi="Times New Roman" w:eastAsiaTheme="minorEastAsia"/>
          <w:b w:val="0"/>
        </w:rPr>
      </w:pPr>
      <w:r>
        <w:rPr>
          <w:rFonts w:hint="eastAsia" w:ascii="Times New Roman" w:hAnsi="Times New Roman" w:eastAsiaTheme="minorEastAsia"/>
          <w:b w:val="0"/>
        </w:rPr>
        <w:t>《饮用水水源保护区划分技术规范》（HJ 338-2018）</w:t>
      </w:r>
    </w:p>
    <w:p>
      <w:pPr>
        <w:pStyle w:val="54"/>
        <w:numPr>
          <w:ilvl w:val="0"/>
          <w:numId w:val="3"/>
        </w:numPr>
        <w:ind w:left="0" w:firstLine="560" w:firstLineChars="200"/>
        <w:rPr>
          <w:rFonts w:ascii="Times New Roman" w:hAnsi="Times New Roman" w:eastAsiaTheme="minorEastAsia"/>
          <w:b w:val="0"/>
        </w:rPr>
      </w:pPr>
      <w:r>
        <w:rPr>
          <w:rFonts w:hint="eastAsia" w:ascii="Times New Roman" w:hAnsi="Times New Roman" w:eastAsiaTheme="minorEastAsia"/>
          <w:b w:val="0"/>
        </w:rPr>
        <w:t>《生活饮用水水源水质标准》（CJ3020-1993）</w:t>
      </w:r>
    </w:p>
    <w:p>
      <w:pPr>
        <w:pStyle w:val="54"/>
        <w:numPr>
          <w:ilvl w:val="0"/>
          <w:numId w:val="3"/>
        </w:numPr>
        <w:ind w:left="0" w:firstLine="560" w:firstLineChars="200"/>
        <w:rPr>
          <w:rFonts w:ascii="Times New Roman" w:hAnsi="Times New Roman" w:eastAsiaTheme="minorEastAsia"/>
          <w:b w:val="0"/>
        </w:rPr>
      </w:pPr>
      <w:r>
        <w:rPr>
          <w:rFonts w:hint="eastAsia" w:ascii="Times New Roman" w:hAnsi="Times New Roman" w:eastAsiaTheme="minorEastAsia"/>
          <w:b w:val="0"/>
        </w:rPr>
        <w:t>《水利水电工程水文计算规范》（SL278-2002）</w:t>
      </w:r>
    </w:p>
    <w:p>
      <w:pPr>
        <w:pStyle w:val="54"/>
        <w:numPr>
          <w:ilvl w:val="0"/>
          <w:numId w:val="3"/>
        </w:numPr>
        <w:ind w:left="0" w:firstLine="560" w:firstLineChars="200"/>
        <w:rPr>
          <w:rFonts w:ascii="Times New Roman" w:hAnsi="Times New Roman" w:eastAsiaTheme="minorEastAsia"/>
          <w:b w:val="0"/>
        </w:rPr>
      </w:pPr>
      <w:r>
        <w:rPr>
          <w:rFonts w:hint="eastAsia" w:ascii="Times New Roman" w:hAnsi="Times New Roman" w:eastAsiaTheme="minorEastAsia"/>
          <w:b w:val="0"/>
        </w:rPr>
        <w:t>《公路桥涵设计通用规范》（JTG D60-2015）</w:t>
      </w:r>
    </w:p>
    <w:p>
      <w:pPr>
        <w:pStyle w:val="54"/>
        <w:numPr>
          <w:ilvl w:val="0"/>
          <w:numId w:val="3"/>
        </w:numPr>
        <w:ind w:left="0" w:firstLine="560" w:firstLineChars="200"/>
        <w:rPr>
          <w:rFonts w:ascii="Times New Roman" w:hAnsi="Times New Roman" w:eastAsiaTheme="minorEastAsia"/>
          <w:b w:val="0"/>
        </w:rPr>
      </w:pPr>
      <w:r>
        <w:rPr>
          <w:rFonts w:hint="eastAsia" w:ascii="Times New Roman" w:hAnsi="Times New Roman" w:eastAsiaTheme="minorEastAsia"/>
          <w:b w:val="0"/>
        </w:rPr>
        <w:t>《全国河道（湖泊）岸线利用管理规划技术细则》</w:t>
      </w:r>
    </w:p>
    <w:p>
      <w:pPr>
        <w:pStyle w:val="54"/>
        <w:numPr>
          <w:ilvl w:val="0"/>
          <w:numId w:val="3"/>
        </w:numPr>
        <w:ind w:left="0" w:firstLine="560" w:firstLineChars="200"/>
        <w:rPr>
          <w:rFonts w:ascii="Times New Roman" w:hAnsi="Times New Roman" w:eastAsiaTheme="minorEastAsia"/>
          <w:b w:val="0"/>
        </w:rPr>
      </w:pPr>
      <w:r>
        <w:rPr>
          <w:rFonts w:hint="eastAsia" w:ascii="Times New Roman" w:hAnsi="Times New Roman" w:eastAsiaTheme="minorEastAsia"/>
          <w:b w:val="0"/>
        </w:rPr>
        <w:t>《水利空间要素图式与表达规范》（SL730-2015）</w:t>
      </w:r>
    </w:p>
    <w:p>
      <w:pPr>
        <w:pStyle w:val="25"/>
        <w:spacing w:before="156" w:after="156"/>
        <w:ind w:left="0" w:leftChars="0"/>
      </w:pPr>
      <w:bookmarkStart w:id="37" w:name="_bookmark45"/>
      <w:bookmarkEnd w:id="37"/>
      <w:bookmarkStart w:id="38" w:name="_Toc30244"/>
      <w:bookmarkStart w:id="39" w:name="_Toc1050"/>
      <w:bookmarkStart w:id="40" w:name="_Toc17878"/>
      <w:bookmarkStart w:id="41" w:name="_Toc3971"/>
      <w:bookmarkStart w:id="42" w:name="_Toc28838"/>
      <w:bookmarkStart w:id="43" w:name="_Toc84536502"/>
      <w:r>
        <w:rPr>
          <w:rFonts w:hint="eastAsia"/>
        </w:rPr>
        <w:t>1.4.4 相关规划</w:t>
      </w:r>
      <w:bookmarkEnd w:id="38"/>
      <w:bookmarkEnd w:id="39"/>
      <w:bookmarkEnd w:id="40"/>
      <w:bookmarkEnd w:id="41"/>
      <w:bookmarkEnd w:id="42"/>
      <w:r>
        <w:rPr>
          <w:rFonts w:hint="eastAsia"/>
        </w:rPr>
        <w:t>与文件</w:t>
      </w:r>
      <w:bookmarkEnd w:id="43"/>
    </w:p>
    <w:p>
      <w:pPr>
        <w:pStyle w:val="54"/>
        <w:numPr>
          <w:ilvl w:val="0"/>
          <w:numId w:val="4"/>
        </w:numPr>
        <w:ind w:left="0" w:firstLine="560" w:firstLineChars="200"/>
        <w:rPr>
          <w:rFonts w:ascii="Times New Roman" w:hAnsi="Times New Roman" w:eastAsiaTheme="minorEastAsia"/>
          <w:b w:val="0"/>
        </w:rPr>
      </w:pPr>
      <w:r>
        <w:rPr>
          <w:rFonts w:hint="eastAsia" w:ascii="Times New Roman" w:hAnsi="Times New Roman" w:eastAsiaTheme="minorEastAsia"/>
          <w:b w:val="0"/>
        </w:rPr>
        <w:t>《淮河生态经济带发展规划》（国函〔2018〕126号）</w:t>
      </w:r>
    </w:p>
    <w:p>
      <w:pPr>
        <w:pStyle w:val="54"/>
        <w:numPr>
          <w:ilvl w:val="0"/>
          <w:numId w:val="4"/>
        </w:numPr>
        <w:ind w:left="0" w:firstLine="560" w:firstLineChars="200"/>
        <w:rPr>
          <w:rFonts w:ascii="Times New Roman" w:hAnsi="Times New Roman" w:eastAsiaTheme="minorEastAsia"/>
          <w:b w:val="0"/>
          <w:color w:val="000000" w:themeColor="text1"/>
          <w14:textFill>
            <w14:solidFill>
              <w14:schemeClr w14:val="tx1"/>
            </w14:solidFill>
          </w14:textFill>
        </w:rPr>
      </w:pPr>
      <w:r>
        <w:rPr>
          <w:rFonts w:hint="eastAsia" w:ascii="Times New Roman" w:hAnsi="Times New Roman" w:eastAsiaTheme="minorEastAsia"/>
          <w:b w:val="0"/>
          <w:color w:val="000000" w:themeColor="text1"/>
          <w14:textFill>
            <w14:solidFill>
              <w14:schemeClr w14:val="tx1"/>
            </w14:solidFill>
          </w14:textFill>
        </w:rPr>
        <w:t>《大运河文化保护传承利用规划纲要》（中办发〔2019〕10号）</w:t>
      </w:r>
    </w:p>
    <w:p>
      <w:pPr>
        <w:pStyle w:val="54"/>
        <w:numPr>
          <w:ilvl w:val="0"/>
          <w:numId w:val="4"/>
        </w:numPr>
        <w:ind w:left="0" w:firstLine="560" w:firstLineChars="200"/>
        <w:rPr>
          <w:rFonts w:ascii="Times New Roman" w:hAnsi="Times New Roman" w:eastAsiaTheme="minorEastAsia"/>
          <w:b w:val="0"/>
          <w:color w:val="000000" w:themeColor="text1"/>
          <w14:textFill>
            <w14:solidFill>
              <w14:schemeClr w14:val="tx1"/>
            </w14:solidFill>
          </w14:textFill>
        </w:rPr>
      </w:pPr>
      <w:r>
        <w:rPr>
          <w:rFonts w:hint="eastAsia" w:ascii="Times New Roman" w:hAnsi="Times New Roman" w:eastAsiaTheme="minorEastAsia"/>
          <w:b w:val="0"/>
          <w:color w:val="000000" w:themeColor="text1"/>
          <w14:textFill>
            <w14:solidFill>
              <w14:schemeClr w14:val="tx1"/>
            </w14:solidFill>
          </w14:textFill>
        </w:rPr>
        <w:t>《大运河生态环境保护修复专项规划》（环综合〔20</w:t>
      </w:r>
      <w:r>
        <w:rPr>
          <w:rFonts w:ascii="Times New Roman" w:hAnsi="Times New Roman" w:eastAsiaTheme="minorEastAsia"/>
          <w:b w:val="0"/>
          <w:color w:val="000000" w:themeColor="text1"/>
          <w14:textFill>
            <w14:solidFill>
              <w14:schemeClr w14:val="tx1"/>
            </w14:solidFill>
          </w14:textFill>
        </w:rPr>
        <w:t>20</w:t>
      </w:r>
      <w:r>
        <w:rPr>
          <w:rFonts w:hint="eastAsia" w:ascii="Times New Roman" w:hAnsi="Times New Roman" w:eastAsiaTheme="minorEastAsia"/>
          <w:b w:val="0"/>
          <w:color w:val="000000" w:themeColor="text1"/>
          <w14:textFill>
            <w14:solidFill>
              <w14:schemeClr w14:val="tx1"/>
            </w14:solidFill>
          </w14:textFill>
        </w:rPr>
        <w:t>〕</w:t>
      </w:r>
      <w:r>
        <w:rPr>
          <w:rFonts w:ascii="Times New Roman" w:hAnsi="Times New Roman" w:eastAsiaTheme="minorEastAsia"/>
          <w:b w:val="0"/>
          <w:color w:val="000000" w:themeColor="text1"/>
          <w14:textFill>
            <w14:solidFill>
              <w14:schemeClr w14:val="tx1"/>
            </w14:solidFill>
          </w14:textFill>
        </w:rPr>
        <w:t>37</w:t>
      </w:r>
      <w:r>
        <w:rPr>
          <w:rFonts w:hint="eastAsia" w:ascii="Times New Roman" w:hAnsi="Times New Roman" w:eastAsiaTheme="minorEastAsia"/>
          <w:b w:val="0"/>
          <w:color w:val="000000" w:themeColor="text1"/>
          <w14:textFill>
            <w14:solidFill>
              <w14:schemeClr w14:val="tx1"/>
            </w14:solidFill>
          </w14:textFill>
        </w:rPr>
        <w:t>号）</w:t>
      </w:r>
    </w:p>
    <w:p>
      <w:pPr>
        <w:pStyle w:val="54"/>
        <w:numPr>
          <w:ilvl w:val="0"/>
          <w:numId w:val="4"/>
        </w:numPr>
        <w:ind w:left="0" w:firstLine="560" w:firstLineChars="200"/>
        <w:rPr>
          <w:rFonts w:ascii="Times New Roman" w:hAnsi="Times New Roman" w:eastAsiaTheme="minorEastAsia"/>
          <w:b w:val="0"/>
          <w:color w:val="000000" w:themeColor="text1"/>
          <w14:textFill>
            <w14:solidFill>
              <w14:schemeClr w14:val="tx1"/>
            </w14:solidFill>
          </w14:textFill>
        </w:rPr>
      </w:pPr>
      <w:r>
        <w:rPr>
          <w:rFonts w:hint="eastAsia" w:ascii="Times New Roman" w:hAnsi="Times New Roman" w:eastAsiaTheme="minorEastAsia"/>
          <w:b w:val="0"/>
          <w:color w:val="000000" w:themeColor="text1"/>
          <w14:textFill>
            <w14:solidFill>
              <w14:schemeClr w14:val="tx1"/>
            </w14:solidFill>
          </w14:textFill>
        </w:rPr>
        <w:t>《安徽省大运河文化保护传承利用实施规划》（皖办发〔2019〕21号）</w:t>
      </w:r>
    </w:p>
    <w:p>
      <w:pPr>
        <w:pStyle w:val="54"/>
        <w:numPr>
          <w:ilvl w:val="0"/>
          <w:numId w:val="4"/>
        </w:numPr>
        <w:ind w:left="0" w:firstLine="560" w:firstLineChars="200"/>
        <w:rPr>
          <w:rFonts w:ascii="Times New Roman" w:hAnsi="Times New Roman" w:eastAsiaTheme="minorEastAsia"/>
          <w:b w:val="0"/>
          <w:color w:val="000000" w:themeColor="text1"/>
          <w14:textFill>
            <w14:solidFill>
              <w14:schemeClr w14:val="tx1"/>
            </w14:solidFill>
          </w14:textFill>
        </w:rPr>
      </w:pPr>
      <w:r>
        <w:rPr>
          <w:rFonts w:hint="eastAsia" w:ascii="Times New Roman" w:hAnsi="Times New Roman" w:eastAsiaTheme="minorEastAsia"/>
          <w:b w:val="0"/>
          <w:color w:val="000000" w:themeColor="text1"/>
          <w14:textFill>
            <w14:solidFill>
              <w14:schemeClr w14:val="tx1"/>
            </w14:solidFill>
          </w14:textFill>
        </w:rPr>
        <w:t>《中国大运河（安徽</w:t>
      </w:r>
      <w:r>
        <w:rPr>
          <w:rFonts w:hint="eastAsia" w:asciiTheme="minorEastAsia" w:hAnsiTheme="minorEastAsia" w:eastAsiaTheme="minorEastAsia"/>
          <w:b w:val="0"/>
          <w:color w:val="000000" w:themeColor="text1"/>
          <w14:textFill>
            <w14:solidFill>
              <w14:schemeClr w14:val="tx1"/>
            </w14:solidFill>
          </w14:textFill>
        </w:rPr>
        <w:t>·</w:t>
      </w:r>
      <w:r>
        <w:rPr>
          <w:rFonts w:hint="eastAsia" w:ascii="Times New Roman" w:hAnsi="Times New Roman" w:eastAsiaTheme="minorEastAsia"/>
          <w:b w:val="0"/>
          <w:color w:val="000000" w:themeColor="text1"/>
          <w14:textFill>
            <w14:solidFill>
              <w14:schemeClr w14:val="tx1"/>
            </w14:solidFill>
          </w14:textFill>
        </w:rPr>
        <w:t>宿州段）保护规划》（2009年7月）</w:t>
      </w:r>
    </w:p>
    <w:p>
      <w:pPr>
        <w:pStyle w:val="54"/>
        <w:numPr>
          <w:ilvl w:val="0"/>
          <w:numId w:val="4"/>
        </w:numPr>
        <w:ind w:left="0" w:firstLine="560" w:firstLineChars="200"/>
        <w:rPr>
          <w:rFonts w:ascii="Times New Roman" w:hAnsi="Times New Roman" w:eastAsiaTheme="minorEastAsia"/>
          <w:b w:val="0"/>
          <w:color w:val="000000" w:themeColor="text1"/>
          <w14:textFill>
            <w14:solidFill>
              <w14:schemeClr w14:val="tx1"/>
            </w14:solidFill>
          </w14:textFill>
        </w:rPr>
      </w:pPr>
      <w:r>
        <w:rPr>
          <w:rFonts w:hint="eastAsia" w:ascii="Times New Roman" w:hAnsi="Times New Roman" w:eastAsiaTheme="minorEastAsia"/>
          <w:b w:val="0"/>
          <w:color w:val="000000" w:themeColor="text1"/>
          <w14:textFill>
            <w14:solidFill>
              <w14:schemeClr w14:val="tx1"/>
            </w14:solidFill>
          </w14:textFill>
        </w:rPr>
        <w:t>《宿州市大运河文化保护传承利用三年行动方案（2020－2022年）》（2020年7月）</w:t>
      </w:r>
    </w:p>
    <w:p>
      <w:pPr>
        <w:pStyle w:val="54"/>
        <w:numPr>
          <w:ilvl w:val="0"/>
          <w:numId w:val="4"/>
        </w:numPr>
        <w:ind w:left="0" w:firstLine="560" w:firstLineChars="200"/>
        <w:rPr>
          <w:rFonts w:ascii="Times New Roman" w:hAnsi="Times New Roman" w:eastAsiaTheme="minorEastAsia"/>
          <w:b w:val="0"/>
        </w:rPr>
      </w:pPr>
      <w:r>
        <w:rPr>
          <w:rFonts w:hint="eastAsia" w:ascii="Times New Roman" w:hAnsi="Times New Roman" w:eastAsiaTheme="minorEastAsia"/>
          <w:b w:val="0"/>
        </w:rPr>
        <w:t>《宿州市乡村振兴战略规划（2019-2022年）》</w:t>
      </w:r>
    </w:p>
    <w:p>
      <w:pPr>
        <w:pStyle w:val="54"/>
        <w:numPr>
          <w:ilvl w:val="0"/>
          <w:numId w:val="4"/>
        </w:numPr>
        <w:ind w:left="0" w:firstLine="560" w:firstLineChars="200"/>
        <w:rPr>
          <w:rFonts w:ascii="Times New Roman" w:hAnsi="Times New Roman" w:eastAsiaTheme="minorEastAsia"/>
          <w:b w:val="0"/>
        </w:rPr>
      </w:pPr>
      <w:r>
        <w:rPr>
          <w:rFonts w:hint="eastAsia" w:ascii="Times New Roman" w:hAnsi="Times New Roman" w:eastAsiaTheme="minorEastAsia"/>
          <w:b w:val="0"/>
        </w:rPr>
        <w:t>《宿州市城市总体规划（2012-2030年）（2018年修改）》</w:t>
      </w:r>
    </w:p>
    <w:p>
      <w:pPr>
        <w:pStyle w:val="54"/>
        <w:numPr>
          <w:ilvl w:val="0"/>
          <w:numId w:val="4"/>
        </w:numPr>
        <w:ind w:left="0" w:firstLine="560" w:firstLineChars="200"/>
        <w:rPr>
          <w:rFonts w:ascii="Times New Roman" w:hAnsi="Times New Roman" w:eastAsiaTheme="minorEastAsia"/>
          <w:b w:val="0"/>
        </w:rPr>
      </w:pPr>
      <w:r>
        <w:rPr>
          <w:rFonts w:hint="eastAsia" w:ascii="Times New Roman" w:hAnsi="Times New Roman" w:eastAsiaTheme="minorEastAsia"/>
          <w:b w:val="0"/>
        </w:rPr>
        <w:t>《安徽省生态保护红线》（皖政秘〔2018〕120号）</w:t>
      </w:r>
    </w:p>
    <w:p>
      <w:pPr>
        <w:pStyle w:val="54"/>
        <w:numPr>
          <w:ilvl w:val="0"/>
          <w:numId w:val="4"/>
        </w:numPr>
        <w:ind w:left="0" w:firstLine="560" w:firstLineChars="200"/>
        <w:rPr>
          <w:rFonts w:ascii="Times New Roman" w:hAnsi="Times New Roman" w:eastAsiaTheme="minorEastAsia"/>
          <w:b w:val="0"/>
        </w:rPr>
      </w:pPr>
      <w:r>
        <w:rPr>
          <w:rFonts w:hint="eastAsia" w:ascii="Times New Roman" w:hAnsi="Times New Roman" w:eastAsiaTheme="minorEastAsia"/>
          <w:b w:val="0"/>
        </w:rPr>
        <w:t>《安徽省淮河干流岸线保护与开发利用规划》，安徽省水利水电勘测设计院，2018年</w:t>
      </w:r>
    </w:p>
    <w:p>
      <w:pPr>
        <w:pStyle w:val="54"/>
        <w:numPr>
          <w:ilvl w:val="0"/>
          <w:numId w:val="4"/>
        </w:numPr>
        <w:ind w:left="0" w:firstLine="560" w:firstLineChars="200"/>
        <w:rPr>
          <w:rFonts w:ascii="Times New Roman" w:hAnsi="Times New Roman" w:eastAsiaTheme="minorEastAsia"/>
          <w:b w:val="0"/>
        </w:rPr>
      </w:pPr>
      <w:r>
        <w:rPr>
          <w:rFonts w:ascii="Times New Roman" w:hAnsi="Times New Roman" w:eastAsiaTheme="minorEastAsia"/>
          <w:b w:val="0"/>
        </w:rPr>
        <w:t>《宿州市新型城镇化发展规划（2016-2025年）》（宿政发〔2017〕13号）</w:t>
      </w:r>
    </w:p>
    <w:p>
      <w:pPr>
        <w:pStyle w:val="54"/>
        <w:numPr>
          <w:ilvl w:val="0"/>
          <w:numId w:val="4"/>
        </w:numPr>
        <w:ind w:left="0" w:firstLine="560" w:firstLineChars="200"/>
        <w:rPr>
          <w:rFonts w:ascii="Times New Roman" w:hAnsi="Times New Roman" w:eastAsiaTheme="minorEastAsia"/>
          <w:b w:val="0"/>
        </w:rPr>
      </w:pPr>
      <w:r>
        <w:rPr>
          <w:rFonts w:ascii="Times New Roman" w:hAnsi="Times New Roman" w:eastAsiaTheme="minorEastAsia"/>
          <w:b w:val="0"/>
        </w:rPr>
        <w:t>《宿州市主体功能区规划》（宿政秘〔2017〕170号）</w:t>
      </w:r>
    </w:p>
    <w:p>
      <w:pPr>
        <w:pStyle w:val="54"/>
        <w:numPr>
          <w:ilvl w:val="0"/>
          <w:numId w:val="4"/>
        </w:numPr>
        <w:ind w:left="0" w:firstLine="560" w:firstLineChars="200"/>
        <w:rPr>
          <w:rFonts w:ascii="Times New Roman" w:hAnsi="Times New Roman" w:eastAsiaTheme="minorEastAsia"/>
          <w:b w:val="0"/>
        </w:rPr>
      </w:pPr>
      <w:r>
        <w:rPr>
          <w:rFonts w:ascii="Times New Roman" w:hAnsi="Times New Roman" w:eastAsiaTheme="minorEastAsia"/>
          <w:b w:val="0"/>
        </w:rPr>
        <w:t>《宿州市城市排水（雨水）防涝综合规划（2013-2030）》</w:t>
      </w:r>
    </w:p>
    <w:p>
      <w:pPr>
        <w:pStyle w:val="54"/>
        <w:numPr>
          <w:ilvl w:val="0"/>
          <w:numId w:val="4"/>
        </w:numPr>
        <w:ind w:left="0" w:firstLine="560" w:firstLineChars="200"/>
        <w:rPr>
          <w:rFonts w:ascii="Times New Roman" w:hAnsi="Times New Roman" w:eastAsiaTheme="minorEastAsia"/>
          <w:b w:val="0"/>
        </w:rPr>
      </w:pPr>
      <w:r>
        <w:rPr>
          <w:rFonts w:ascii="Times New Roman" w:hAnsi="Times New Roman" w:eastAsiaTheme="minorEastAsia"/>
          <w:b w:val="0"/>
        </w:rPr>
        <w:t>《宿州市水资源综合规划》</w:t>
      </w:r>
    </w:p>
    <w:p>
      <w:pPr>
        <w:pStyle w:val="54"/>
        <w:numPr>
          <w:ilvl w:val="0"/>
          <w:numId w:val="4"/>
        </w:numPr>
        <w:ind w:left="0" w:firstLine="560" w:firstLineChars="200"/>
        <w:rPr>
          <w:rFonts w:ascii="Times New Roman" w:hAnsi="Times New Roman" w:eastAsiaTheme="minorEastAsia"/>
          <w:b w:val="0"/>
        </w:rPr>
      </w:pPr>
      <w:r>
        <w:rPr>
          <w:rFonts w:ascii="Times New Roman" w:hAnsi="Times New Roman" w:eastAsiaTheme="minorEastAsia"/>
          <w:b w:val="0"/>
        </w:rPr>
        <w:t>《安徽省水功能区划》</w:t>
      </w:r>
    </w:p>
    <w:p>
      <w:pPr>
        <w:pStyle w:val="54"/>
        <w:numPr>
          <w:ilvl w:val="0"/>
          <w:numId w:val="4"/>
        </w:numPr>
        <w:ind w:left="0" w:firstLine="560" w:firstLineChars="200"/>
        <w:rPr>
          <w:rFonts w:ascii="Times New Roman" w:hAnsi="Times New Roman" w:eastAsiaTheme="minorEastAsia"/>
          <w:b w:val="0"/>
        </w:rPr>
      </w:pPr>
      <w:r>
        <w:rPr>
          <w:rFonts w:ascii="Times New Roman" w:hAnsi="Times New Roman" w:eastAsiaTheme="minorEastAsia"/>
          <w:b w:val="0"/>
        </w:rPr>
        <w:t>《宿州市中小河流近期治理规划报告》</w:t>
      </w:r>
    </w:p>
    <w:p>
      <w:pPr>
        <w:pStyle w:val="54"/>
        <w:numPr>
          <w:ilvl w:val="0"/>
          <w:numId w:val="4"/>
        </w:numPr>
        <w:ind w:left="0" w:firstLine="560" w:firstLineChars="200"/>
        <w:rPr>
          <w:rFonts w:ascii="Times New Roman" w:hAnsi="Times New Roman" w:eastAsia="仿宋"/>
          <w:b w:val="0"/>
        </w:rPr>
      </w:pPr>
      <w:r>
        <w:rPr>
          <w:rFonts w:ascii="Times New Roman" w:hAnsi="Times New Roman" w:eastAsiaTheme="minorEastAsia"/>
          <w:b w:val="0"/>
        </w:rPr>
        <w:t>《宿州市泗县小汴河</w:t>
      </w:r>
      <w:r>
        <w:rPr>
          <w:rFonts w:hint="eastAsia" w:ascii="Times New Roman" w:hAnsi="Times New Roman" w:eastAsiaTheme="minorEastAsia"/>
          <w:b w:val="0"/>
        </w:rPr>
        <w:t>“</w:t>
      </w:r>
      <w:r>
        <w:rPr>
          <w:rFonts w:ascii="Times New Roman" w:hAnsi="Times New Roman" w:eastAsiaTheme="minorEastAsia"/>
          <w:b w:val="0"/>
        </w:rPr>
        <w:t>一河一策</w:t>
      </w:r>
      <w:r>
        <w:rPr>
          <w:rFonts w:hint="eastAsia" w:ascii="Times New Roman" w:hAnsi="Times New Roman" w:eastAsiaTheme="minorEastAsia"/>
          <w:b w:val="0"/>
        </w:rPr>
        <w:t>”</w:t>
      </w:r>
      <w:r>
        <w:rPr>
          <w:rFonts w:ascii="Times New Roman" w:hAnsi="Times New Roman" w:eastAsiaTheme="minorEastAsia"/>
          <w:b w:val="0"/>
        </w:rPr>
        <w:t>实施方案》（2018年～2020年）</w:t>
      </w:r>
    </w:p>
    <w:p>
      <w:pPr>
        <w:pStyle w:val="4"/>
        <w:spacing w:before="312" w:after="312"/>
      </w:pPr>
      <w:bookmarkStart w:id="44" w:name="_Toc84536503"/>
      <w:r>
        <w:rPr>
          <w:rFonts w:hint="eastAsia"/>
        </w:rPr>
        <w:t xml:space="preserve">1.5 </w:t>
      </w:r>
      <w:r>
        <w:rPr>
          <w:rFonts w:hint="eastAsia" w:asciiTheme="minorEastAsia" w:hAnsiTheme="minorEastAsia" w:eastAsiaTheme="minorEastAsia"/>
        </w:rPr>
        <w:t>编制原则</w:t>
      </w:r>
      <w:bookmarkEnd w:id="44"/>
    </w:p>
    <w:p>
      <w:pPr>
        <w:pStyle w:val="24"/>
        <w:shd w:val="clear" w:color="auto" w:fill="FFFFFF"/>
        <w:spacing w:line="360" w:lineRule="auto"/>
        <w:ind w:firstLine="551" w:firstLineChars="196"/>
        <w:rPr>
          <w:rFonts w:ascii="微软雅黑" w:hAnsi="微软雅黑"/>
          <w:color w:val="000000" w:themeColor="text1"/>
          <w:sz w:val="28"/>
          <w:szCs w:val="28"/>
          <w14:textFill>
            <w14:solidFill>
              <w14:schemeClr w14:val="tx1"/>
            </w14:solidFill>
          </w14:textFill>
        </w:rPr>
      </w:pPr>
      <w:r>
        <w:rPr>
          <w:rFonts w:hint="eastAsia" w:ascii="楷体_GB2312" w:hAnsi="楷体_GB2312" w:eastAsia="楷体_GB2312" w:cs="楷体_GB2312"/>
          <w:b/>
          <w:color w:val="000000" w:themeColor="text1"/>
          <w:sz w:val="28"/>
          <w:szCs w:val="28"/>
          <w14:textFill>
            <w14:solidFill>
              <w14:schemeClr w14:val="tx1"/>
            </w14:solidFill>
          </w14:textFill>
        </w:rPr>
        <w:t>科学规划，保护优先。</w:t>
      </w:r>
      <w:r>
        <w:rPr>
          <w:rFonts w:ascii="微软雅黑" w:hAnsi="微软雅黑"/>
          <w:color w:val="000000" w:themeColor="text1"/>
          <w:sz w:val="28"/>
          <w:szCs w:val="28"/>
          <w14:textFill>
            <w14:solidFill>
              <w14:schemeClr w14:val="tx1"/>
            </w14:solidFill>
          </w14:textFill>
        </w:rPr>
        <w:t>按照真实性、完整性保护要求和大运河活态遗产特点，坚持保护治理优先，统筹推进文化遗产保护、河道水系整治管护和生态环境修复，</w:t>
      </w:r>
      <w:r>
        <w:rPr>
          <w:rFonts w:hint="eastAsia" w:ascii="微软雅黑" w:hAnsi="微软雅黑"/>
          <w:color w:val="000000" w:themeColor="text1"/>
          <w:sz w:val="28"/>
          <w:szCs w:val="28"/>
          <w14:textFill>
            <w14:solidFill>
              <w14:schemeClr w14:val="tx1"/>
            </w14:solidFill>
          </w14:textFill>
        </w:rPr>
        <w:t>遵循河湖演变的自然规律，根据岸线自然条件，充分考虑防洪安全、河势稳定、生态安全、供水安全、通航安全等方面要求，兼顾上下游、左右岸、不同地区及不同行业的开发利用需求，科学布局河湖岸线生态空间、生活空间、生产空间，合理划定划分岸线功能分区。</w:t>
      </w:r>
    </w:p>
    <w:p>
      <w:pPr>
        <w:pStyle w:val="24"/>
        <w:shd w:val="clear" w:color="auto" w:fill="FFFFFF"/>
        <w:spacing w:line="360" w:lineRule="auto"/>
        <w:ind w:firstLine="562" w:firstLineChars="200"/>
        <w:rPr>
          <w:rFonts w:ascii="微软雅黑" w:hAnsi="微软雅黑"/>
          <w:color w:val="000000" w:themeColor="text1"/>
          <w:sz w:val="28"/>
          <w:szCs w:val="28"/>
          <w14:textFill>
            <w14:solidFill>
              <w14:schemeClr w14:val="tx1"/>
            </w14:solidFill>
          </w14:textFill>
        </w:rPr>
      </w:pPr>
      <w:r>
        <w:rPr>
          <w:rFonts w:hint="eastAsia" w:ascii="楷体_GB2312" w:hAnsi="楷体_GB2312" w:eastAsia="楷体_GB2312" w:cs="楷体_GB2312"/>
          <w:b/>
          <w:color w:val="000000" w:themeColor="text1"/>
          <w:sz w:val="28"/>
          <w:szCs w:val="28"/>
          <w14:textFill>
            <w14:solidFill>
              <w14:schemeClr w14:val="tx1"/>
            </w14:solidFill>
          </w14:textFill>
        </w:rPr>
        <w:t>依法依规，从严管控</w:t>
      </w:r>
      <w:r>
        <w:rPr>
          <w:rFonts w:hint="eastAsia" w:ascii="微软雅黑" w:hAnsi="微软雅黑"/>
          <w:b/>
          <w:color w:val="000000" w:themeColor="text1"/>
          <w:sz w:val="28"/>
          <w:szCs w:val="28"/>
          <w14:textFill>
            <w14:solidFill>
              <w14:schemeClr w14:val="tx1"/>
            </w14:solidFill>
          </w14:textFill>
        </w:rPr>
        <w:t>。</w:t>
      </w:r>
      <w:r>
        <w:rPr>
          <w:rFonts w:hint="eastAsia" w:ascii="微软雅黑" w:hAnsi="微软雅黑"/>
          <w:color w:val="000000" w:themeColor="text1"/>
          <w:sz w:val="28"/>
          <w:szCs w:val="28"/>
          <w14:textFill>
            <w14:solidFill>
              <w14:schemeClr w14:val="tx1"/>
            </w14:solidFill>
          </w14:textFill>
        </w:rPr>
        <w:t>按照《水法》《防洪法》《河道管理条例》等法律法规的要求，针对岸线利用与保护中存在的突出问题，强调制度建设、强化整体保护、落实监管责任，确保岸线得到有效保护、合理利用和依法管理</w:t>
      </w:r>
      <w:r>
        <w:rPr>
          <w:rFonts w:ascii="微软雅黑" w:hAnsi="微软雅黑"/>
          <w:color w:val="000000" w:themeColor="text1"/>
          <w:sz w:val="28"/>
          <w:szCs w:val="28"/>
          <w14:textFill>
            <w14:solidFill>
              <w14:schemeClr w14:val="tx1"/>
            </w14:solidFill>
          </w14:textFill>
        </w:rPr>
        <w:t>。</w:t>
      </w:r>
      <w:r>
        <w:rPr>
          <w:rFonts w:hint="eastAsia" w:ascii="微软雅黑" w:hAnsi="微软雅黑"/>
          <w:color w:val="000000" w:themeColor="text1"/>
          <w:sz w:val="28"/>
          <w:szCs w:val="28"/>
          <w14:textFill>
            <w14:solidFill>
              <w14:schemeClr w14:val="tx1"/>
            </w14:solidFill>
          </w14:textFill>
        </w:rPr>
        <w:t>严格自然生态环境和传统历史风貌保护，突出世界文化遗产保护。按照国土空间规划和“三线一单”要求，实行负面清单准入管理，因地制宜制定禁止和限制发展产业目录，强化准入管理和底线约束，严禁新建扩建不利于生态环境保护的工矿企业等项目，限期拆除违规侵占运河河道本体和岸线的建筑物。</w:t>
      </w:r>
    </w:p>
    <w:p>
      <w:pPr>
        <w:pStyle w:val="24"/>
        <w:shd w:val="clear" w:color="auto" w:fill="FFFFFF"/>
        <w:spacing w:line="360" w:lineRule="auto"/>
        <w:ind w:firstLine="562" w:firstLineChars="200"/>
        <w:rPr>
          <w:rFonts w:ascii="微软雅黑" w:hAnsi="微软雅黑"/>
          <w:color w:val="000000" w:themeColor="text1"/>
          <w:sz w:val="28"/>
          <w:szCs w:val="28"/>
          <w14:textFill>
            <w14:solidFill>
              <w14:schemeClr w14:val="tx1"/>
            </w14:solidFill>
          </w14:textFill>
        </w:rPr>
      </w:pPr>
      <w:r>
        <w:rPr>
          <w:rFonts w:hint="eastAsia" w:ascii="楷体_GB2312" w:hAnsi="楷体_GB2312" w:eastAsia="楷体_GB2312" w:cs="楷体_GB2312"/>
          <w:b/>
          <w:color w:val="000000" w:themeColor="text1"/>
          <w:sz w:val="28"/>
          <w:szCs w:val="28"/>
          <w14:textFill>
            <w14:solidFill>
              <w14:schemeClr w14:val="tx1"/>
            </w14:solidFill>
          </w14:textFill>
        </w:rPr>
        <w:t>优化布局，合理利用。</w:t>
      </w:r>
      <w:r>
        <w:rPr>
          <w:rFonts w:ascii="微软雅黑" w:hAnsi="微软雅黑"/>
          <w:color w:val="000000" w:themeColor="text1"/>
          <w:sz w:val="28"/>
          <w:szCs w:val="28"/>
          <w14:textFill>
            <w14:solidFill>
              <w14:schemeClr w14:val="tx1"/>
            </w14:solidFill>
          </w14:textFill>
        </w:rPr>
        <w:t>突出大运河</w:t>
      </w:r>
      <w:r>
        <w:rPr>
          <w:rFonts w:hint="eastAsia" w:ascii="微软雅黑" w:hAnsi="微软雅黑"/>
          <w:color w:val="000000" w:themeColor="text1"/>
          <w:sz w:val="28"/>
          <w:szCs w:val="28"/>
          <w14:textFill>
            <w14:solidFill>
              <w14:schemeClr w14:val="tx1"/>
            </w14:solidFill>
          </w14:textFill>
        </w:rPr>
        <w:t>宿州段</w:t>
      </w:r>
      <w:r>
        <w:rPr>
          <w:rFonts w:ascii="微软雅黑" w:hAnsi="微软雅黑"/>
          <w:color w:val="000000" w:themeColor="text1"/>
          <w:sz w:val="28"/>
          <w:szCs w:val="28"/>
          <w14:textFill>
            <w14:solidFill>
              <w14:schemeClr w14:val="tx1"/>
            </w14:solidFill>
          </w14:textFill>
        </w:rPr>
        <w:t>文化属性和综合功能，统筹考虑大运河资源承载能力，优化文化遗产、河道水系、生态环境等保护传承利用的空间布局，明确空间管控要求，</w:t>
      </w:r>
      <w:r>
        <w:rPr>
          <w:rFonts w:hint="eastAsia" w:ascii="微软雅黑" w:hAnsi="微软雅黑"/>
          <w:color w:val="000000" w:themeColor="text1"/>
          <w:sz w:val="28"/>
          <w:szCs w:val="28"/>
          <w14:textFill>
            <w14:solidFill>
              <w14:schemeClr w14:val="tx1"/>
            </w14:solidFill>
          </w14:textFill>
        </w:rPr>
        <w:t>协调宿州市城市发展、产业开发、港口建设、生态保护等方面对岸线的利用需求，促进</w:t>
      </w:r>
    </w:p>
    <w:p>
      <w:pPr>
        <w:pStyle w:val="24"/>
        <w:shd w:val="clear" w:color="auto" w:fill="FFFFFF"/>
        <w:spacing w:line="360" w:lineRule="auto"/>
        <w:rPr>
          <w:rFonts w:ascii="微软雅黑" w:hAnsi="微软雅黑"/>
          <w:color w:val="000000" w:themeColor="text1"/>
          <w:sz w:val="28"/>
          <w:szCs w:val="28"/>
          <w14:textFill>
            <w14:solidFill>
              <w14:schemeClr w14:val="tx1"/>
            </w14:solidFill>
          </w14:textFill>
        </w:rPr>
      </w:pPr>
      <w:r>
        <w:rPr>
          <w:rFonts w:hint="eastAsia" w:ascii="微软雅黑" w:hAnsi="微软雅黑"/>
          <w:color w:val="000000" w:themeColor="text1"/>
          <w:sz w:val="28"/>
          <w:szCs w:val="28"/>
          <w14:textFill>
            <w14:solidFill>
              <w14:schemeClr w14:val="tx1"/>
            </w14:solidFill>
          </w14:textFill>
        </w:rPr>
        <w:t>岸线合理利用、强化节约集约利用。做好与生态保护红线划定、空间规划等工作的相互衔接。</w:t>
      </w:r>
    </w:p>
    <w:p>
      <w:pPr>
        <w:pStyle w:val="4"/>
        <w:spacing w:before="312" w:after="312"/>
      </w:pPr>
      <w:bookmarkStart w:id="45" w:name="_Toc84536504"/>
      <w:r>
        <w:rPr>
          <w:rFonts w:hint="eastAsia"/>
        </w:rPr>
        <w:t xml:space="preserve">1.6 </w:t>
      </w:r>
      <w:r>
        <w:rPr>
          <w:rFonts w:hint="eastAsia" w:asciiTheme="minorEastAsia" w:hAnsiTheme="minorEastAsia" w:eastAsiaTheme="minorEastAsia"/>
        </w:rPr>
        <w:t>方案实施时限及范围</w:t>
      </w:r>
      <w:bookmarkEnd w:id="45"/>
    </w:p>
    <w:p>
      <w:pPr>
        <w:pStyle w:val="24"/>
        <w:shd w:val="clear" w:color="auto" w:fill="FFFFFF"/>
        <w:spacing w:line="360" w:lineRule="auto"/>
        <w:ind w:firstLine="560" w:firstLineChars="200"/>
        <w:rPr>
          <w:rFonts w:ascii="Times New Roman" w:hAnsi="Times New Roman" w:cs="Times New Roman"/>
          <w:color w:val="000000" w:themeColor="text1"/>
          <w:sz w:val="28"/>
          <w:szCs w:val="28"/>
          <w14:textFill>
            <w14:solidFill>
              <w14:schemeClr w14:val="tx1"/>
            </w14:solidFill>
          </w14:textFill>
        </w:rPr>
      </w:pPr>
      <w:r>
        <w:rPr>
          <w:rFonts w:ascii="微软雅黑" w:hAnsi="微软雅黑"/>
          <w:color w:val="000000" w:themeColor="text1"/>
          <w:sz w:val="28"/>
          <w:szCs w:val="28"/>
          <w14:textFill>
            <w14:solidFill>
              <w14:schemeClr w14:val="tx1"/>
            </w14:solidFill>
          </w14:textFill>
        </w:rPr>
        <w:t>基准年限：</w:t>
      </w:r>
      <w:r>
        <w:rPr>
          <w:rFonts w:ascii="Times New Roman" w:hAnsi="Times New Roman" w:cs="Times New Roman"/>
          <w:color w:val="000000" w:themeColor="text1"/>
          <w:sz w:val="28"/>
          <w:szCs w:val="28"/>
          <w14:textFill>
            <w14:solidFill>
              <w14:schemeClr w14:val="tx1"/>
            </w14:solidFill>
          </w14:textFill>
        </w:rPr>
        <w:t>20</w:t>
      </w:r>
      <w:r>
        <w:rPr>
          <w:rFonts w:hint="eastAsia" w:ascii="Times New Roman" w:hAnsi="Times New Roman" w:cs="Times New Roman"/>
          <w:color w:val="000000" w:themeColor="text1"/>
          <w:sz w:val="28"/>
          <w:szCs w:val="28"/>
          <w14:textFill>
            <w14:solidFill>
              <w14:schemeClr w14:val="tx1"/>
            </w14:solidFill>
          </w14:textFill>
        </w:rPr>
        <w:t>19</w:t>
      </w:r>
      <w:r>
        <w:rPr>
          <w:rFonts w:ascii="Times New Roman" w:hAnsi="Times New Roman" w:cs="Times New Roman"/>
          <w:color w:val="000000" w:themeColor="text1"/>
          <w:sz w:val="28"/>
          <w:szCs w:val="28"/>
          <w14:textFill>
            <w14:solidFill>
              <w14:schemeClr w14:val="tx1"/>
            </w14:solidFill>
          </w14:textFill>
        </w:rPr>
        <w:t>年。</w:t>
      </w:r>
    </w:p>
    <w:p>
      <w:pPr>
        <w:pStyle w:val="24"/>
        <w:shd w:val="clear" w:color="auto" w:fill="FFFFFF"/>
        <w:spacing w:line="360" w:lineRule="auto"/>
        <w:ind w:firstLine="560" w:firstLineChars="200"/>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实施时限：2021年~2025年。</w:t>
      </w:r>
    </w:p>
    <w:p>
      <w:pPr>
        <w:pStyle w:val="24"/>
        <w:shd w:val="clear" w:color="auto" w:fill="FFFFFF"/>
        <w:spacing w:line="360" w:lineRule="auto"/>
        <w:ind w:firstLine="560" w:firstLineChars="200"/>
        <w:rPr>
          <w:rFonts w:ascii="Times New Roman" w:hAnsi="Times New Roman" w:cs="Times New Roman"/>
          <w:color w:val="FF0000"/>
          <w:sz w:val="28"/>
          <w:szCs w:val="28"/>
        </w:rPr>
      </w:pPr>
      <w:r>
        <w:rPr>
          <w:rFonts w:ascii="Times New Roman" w:hAnsi="Times New Roman" w:cs="Times New Roman"/>
          <w:color w:val="000000" w:themeColor="text1"/>
          <w:sz w:val="28"/>
          <w:szCs w:val="28"/>
          <w14:textFill>
            <w14:solidFill>
              <w14:schemeClr w14:val="tx1"/>
            </w14:solidFill>
          </w14:textFill>
        </w:rPr>
        <w:t>实施范围：</w:t>
      </w:r>
      <w:r>
        <w:rPr>
          <w:rFonts w:hint="eastAsia" w:ascii="Times New Roman" w:hAnsi="Times New Roman" w:cs="Times New Roman"/>
          <w:color w:val="000000" w:themeColor="text1"/>
          <w:sz w:val="28"/>
          <w:szCs w:val="28"/>
          <w14:textFill>
            <w14:solidFill>
              <w14:schemeClr w14:val="tx1"/>
            </w14:solidFill>
          </w14:textFill>
        </w:rPr>
        <w:t>根据大运河文化影响力，以大运河宿州段现有和历史上最近使用的主河道为基础，统筹考虑遗产资源分布，本方案对大运河宿州段文化带的核心区（</w:t>
      </w:r>
      <w:r>
        <w:rPr>
          <w:rFonts w:hint="eastAsia" w:ascii="微软雅黑" w:hAnsi="微软雅黑"/>
          <w:color w:val="000000" w:themeColor="text1"/>
          <w:sz w:val="28"/>
          <w:szCs w:val="28"/>
          <w14:textFill>
            <w14:solidFill>
              <w14:schemeClr w14:val="tx1"/>
            </w14:solidFill>
          </w14:textFill>
        </w:rPr>
        <w:t>埇桥区、灵璧县、泗县</w:t>
      </w:r>
      <w:r>
        <w:rPr>
          <w:rFonts w:hint="eastAsia" w:ascii="Times New Roman" w:hAnsi="Times New Roman" w:cs="Times New Roman"/>
          <w:color w:val="000000" w:themeColor="text1"/>
          <w:sz w:val="28"/>
          <w:szCs w:val="28"/>
          <w14:textFill>
            <w14:solidFill>
              <w14:schemeClr w14:val="tx1"/>
            </w14:solidFill>
          </w14:textFill>
        </w:rPr>
        <w:t>）进行编制。</w:t>
      </w:r>
    </w:p>
    <w:p>
      <w:pPr>
        <w:pStyle w:val="24"/>
        <w:shd w:val="clear" w:color="auto" w:fill="FFFFFF"/>
        <w:spacing w:line="360" w:lineRule="auto"/>
        <w:ind w:firstLine="560" w:firstLineChars="200"/>
        <w:rPr>
          <w:rFonts w:ascii="微软雅黑" w:hAnsi="微软雅黑"/>
          <w:color w:val="000000" w:themeColor="text1"/>
          <w:sz w:val="28"/>
          <w:szCs w:val="28"/>
          <w14:textFill>
            <w14:solidFill>
              <w14:schemeClr w14:val="tx1"/>
            </w14:solidFill>
          </w14:textFill>
        </w:rPr>
      </w:pPr>
      <w:r>
        <w:rPr>
          <w:rFonts w:ascii="微软雅黑" w:hAnsi="微软雅黑"/>
          <w:color w:val="000000" w:themeColor="text1"/>
          <w:sz w:val="28"/>
          <w:szCs w:val="28"/>
          <w14:textFill>
            <w14:solidFill>
              <w14:schemeClr w14:val="tx1"/>
            </w14:solidFill>
          </w14:textFill>
        </w:rPr>
        <w:t>项目内容：流域水质调查、流域区域污染源排查、控源截污、垃圾清理、清淤疏浚、生态修复等</w:t>
      </w:r>
      <w:r>
        <w:rPr>
          <w:rFonts w:hint="eastAsia" w:ascii="微软雅黑" w:hAnsi="微软雅黑"/>
          <w:color w:val="000000" w:themeColor="text1"/>
          <w:sz w:val="28"/>
          <w:szCs w:val="28"/>
          <w14:textFill>
            <w14:solidFill>
              <w14:schemeClr w14:val="tx1"/>
            </w14:solidFill>
          </w14:textFill>
        </w:rPr>
        <w:t>。</w:t>
      </w:r>
    </w:p>
    <w:p>
      <w:pPr>
        <w:pStyle w:val="4"/>
        <w:spacing w:before="312" w:after="312"/>
      </w:pPr>
      <w:bookmarkStart w:id="46" w:name="_Toc84536505"/>
      <w:r>
        <w:rPr>
          <w:rFonts w:hint="eastAsia"/>
        </w:rPr>
        <w:t xml:space="preserve">1.7 </w:t>
      </w:r>
      <w:r>
        <w:rPr>
          <w:rFonts w:hint="eastAsia" w:asciiTheme="minorEastAsia" w:hAnsiTheme="minorEastAsia" w:eastAsiaTheme="minorEastAsia"/>
        </w:rPr>
        <w:t>预期目标</w:t>
      </w:r>
      <w:bookmarkEnd w:id="46"/>
    </w:p>
    <w:p>
      <w:pPr>
        <w:autoSpaceDE w:val="0"/>
        <w:autoSpaceDN w:val="0"/>
        <w:adjustRightInd w:val="0"/>
        <w:ind w:firstLine="560"/>
        <w:jc w:val="left"/>
        <w:rPr>
          <w:color w:val="000000" w:themeColor="text1"/>
          <w:sz w:val="28"/>
          <w:szCs w:val="28"/>
          <w14:textFill>
            <w14:solidFill>
              <w14:schemeClr w14:val="tx1"/>
            </w14:solidFill>
          </w14:textFill>
        </w:rPr>
      </w:pPr>
      <w:r>
        <w:rPr>
          <w:rFonts w:hint="eastAsia"/>
          <w:color w:val="000000" w:themeColor="text1"/>
          <w:kern w:val="0"/>
          <w:sz w:val="28"/>
          <w:szCs w:val="28"/>
          <w14:textFill>
            <w14:solidFill>
              <w14:schemeClr w14:val="tx1"/>
            </w14:solidFill>
          </w14:textFill>
        </w:rPr>
        <w:t>到</w:t>
      </w:r>
      <w:r>
        <w:rPr>
          <w:color w:val="000000" w:themeColor="text1"/>
          <w:kern w:val="0"/>
          <w:sz w:val="28"/>
          <w:szCs w:val="28"/>
          <w14:textFill>
            <w14:solidFill>
              <w14:schemeClr w14:val="tx1"/>
            </w14:solidFill>
          </w14:textFill>
        </w:rPr>
        <w:t>2025</w:t>
      </w:r>
      <w:r>
        <w:rPr>
          <w:rFonts w:hint="eastAsia"/>
          <w:color w:val="000000" w:themeColor="text1"/>
          <w:kern w:val="0"/>
          <w:sz w:val="28"/>
          <w:szCs w:val="28"/>
          <w14:textFill>
            <w14:solidFill>
              <w14:schemeClr w14:val="tx1"/>
            </w14:solidFill>
          </w14:textFill>
        </w:rPr>
        <w:t>年，大运河宿州段沿线生态空间布局基本稳定，绿色生态廊道基本建成，滨河生态空间进一步优化，核心监控区内不符合国土空间规划要求的建设项目得到基本控制，拓展区、辐射区内的建设项目得到有效管控，区域水生态环境质量持续改善，</w:t>
      </w:r>
      <w:r>
        <w:rPr>
          <w:rFonts w:hint="eastAsia"/>
          <w:color w:val="000000" w:themeColor="text1"/>
          <w:sz w:val="28"/>
          <w:szCs w:val="28"/>
          <w14:textFill>
            <w14:solidFill>
              <w14:schemeClr w14:val="tx1"/>
            </w14:solidFill>
          </w14:textFill>
        </w:rPr>
        <w:t>活水区水质得到较大改善。大运河宿州段水环境质量、空气环境质量及土壤环境质量指标如下：</w:t>
      </w:r>
    </w:p>
    <w:p>
      <w:pPr>
        <w:pStyle w:val="2"/>
        <w:spacing w:after="0" w:line="360" w:lineRule="auto"/>
        <w:ind w:left="0" w:leftChars="0" w:firstLine="562" w:firstLineChars="200"/>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（1）水环境质量</w:t>
      </w:r>
    </w:p>
    <w:p>
      <w:pPr>
        <w:spacing w:line="360" w:lineRule="auto"/>
        <w:jc w:val="center"/>
        <w:rPr>
          <w:b/>
          <w:bCs/>
          <w:sz w:val="24"/>
        </w:rPr>
      </w:pPr>
      <w:r>
        <w:rPr>
          <w:rFonts w:hint="eastAsia"/>
          <w:b/>
          <w:bCs/>
          <w:sz w:val="24"/>
        </w:rPr>
        <w:t xml:space="preserve">表1-3  </w:t>
      </w:r>
      <w:r>
        <w:rPr>
          <w:b/>
          <w:bCs/>
          <w:sz w:val="24"/>
        </w:rPr>
        <w:tab/>
      </w:r>
      <w:r>
        <w:rPr>
          <w:b/>
          <w:bCs/>
          <w:sz w:val="24"/>
        </w:rPr>
        <w:t>大运河宿州段泗县境内县级微型监测点断面水质目标</w:t>
      </w:r>
      <w:r>
        <w:rPr>
          <w:rFonts w:hint="eastAsia"/>
          <w:b/>
          <w:bCs/>
          <w:sz w:val="24"/>
        </w:rPr>
        <w:t>表</w:t>
      </w:r>
    </w:p>
    <w:tbl>
      <w:tblPr>
        <w:tblStyle w:val="29"/>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3"/>
        <w:gridCol w:w="2881"/>
        <w:gridCol w:w="2132"/>
        <w:gridCol w:w="21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tblHeader/>
          <w:jc w:val="center"/>
        </w:trPr>
        <w:tc>
          <w:tcPr>
            <w:tcW w:w="1383" w:type="dxa"/>
            <w:vAlign w:val="center"/>
          </w:tcPr>
          <w:p>
            <w:pPr>
              <w:jc w:val="center"/>
              <w:rPr>
                <w:b/>
                <w:bCs/>
                <w:sz w:val="24"/>
              </w:rPr>
            </w:pPr>
            <w:r>
              <w:rPr>
                <w:b/>
                <w:bCs/>
                <w:sz w:val="24"/>
              </w:rPr>
              <w:t>序号</w:t>
            </w:r>
          </w:p>
        </w:tc>
        <w:tc>
          <w:tcPr>
            <w:tcW w:w="2881" w:type="dxa"/>
            <w:vAlign w:val="center"/>
          </w:tcPr>
          <w:p>
            <w:pPr>
              <w:jc w:val="center"/>
              <w:rPr>
                <w:b/>
                <w:bCs/>
                <w:sz w:val="24"/>
              </w:rPr>
            </w:pPr>
            <w:r>
              <w:rPr>
                <w:b/>
                <w:bCs/>
                <w:sz w:val="24"/>
              </w:rPr>
              <w:t>断面名称</w:t>
            </w:r>
          </w:p>
        </w:tc>
        <w:tc>
          <w:tcPr>
            <w:tcW w:w="2132" w:type="dxa"/>
            <w:vAlign w:val="center"/>
          </w:tcPr>
          <w:p>
            <w:pPr>
              <w:jc w:val="center"/>
              <w:rPr>
                <w:b/>
                <w:bCs/>
                <w:sz w:val="24"/>
              </w:rPr>
            </w:pPr>
            <w:r>
              <w:rPr>
                <w:b/>
                <w:bCs/>
                <w:sz w:val="24"/>
              </w:rPr>
              <w:t>水质目标</w:t>
            </w:r>
          </w:p>
        </w:tc>
        <w:tc>
          <w:tcPr>
            <w:tcW w:w="2132" w:type="dxa"/>
            <w:vAlign w:val="center"/>
          </w:tcPr>
          <w:p>
            <w:pPr>
              <w:jc w:val="center"/>
              <w:rPr>
                <w:b/>
                <w:bCs/>
                <w:sz w:val="24"/>
              </w:rPr>
            </w:pPr>
            <w:r>
              <w:rPr>
                <w:b/>
                <w:bCs/>
                <w:sz w:val="24"/>
              </w:rPr>
              <w:t>达标年限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383" w:type="dxa"/>
            <w:vAlign w:val="center"/>
          </w:tcPr>
          <w:p>
            <w:pPr>
              <w:spacing w:line="360" w:lineRule="auto"/>
              <w:jc w:val="center"/>
              <w:rPr>
                <w:bCs/>
                <w:sz w:val="24"/>
              </w:rPr>
            </w:pPr>
            <w:r>
              <w:rPr>
                <w:bCs/>
                <w:sz w:val="24"/>
              </w:rPr>
              <w:t>1</w:t>
            </w:r>
          </w:p>
        </w:tc>
        <w:tc>
          <w:tcPr>
            <w:tcW w:w="2881" w:type="dxa"/>
            <w:vAlign w:val="center"/>
          </w:tcPr>
          <w:p>
            <w:pPr>
              <w:spacing w:line="360" w:lineRule="auto"/>
              <w:jc w:val="center"/>
              <w:rPr>
                <w:bCs/>
                <w:sz w:val="24"/>
              </w:rPr>
            </w:pPr>
            <w:r>
              <w:rPr>
                <w:rFonts w:eastAsiaTheme="minorEastAsia"/>
                <w:sz w:val="24"/>
              </w:rPr>
              <w:t>大运河唐河交汇处断面</w:t>
            </w:r>
          </w:p>
        </w:tc>
        <w:tc>
          <w:tcPr>
            <w:tcW w:w="2132" w:type="dxa"/>
            <w:vAlign w:val="center"/>
          </w:tcPr>
          <w:p>
            <w:pPr>
              <w:spacing w:line="360" w:lineRule="auto"/>
              <w:jc w:val="center"/>
              <w:rPr>
                <w:bCs/>
                <w:sz w:val="24"/>
              </w:rPr>
            </w:pPr>
            <w:r>
              <w:rPr>
                <w:rFonts w:hint="eastAsia" w:ascii="宋体" w:hAnsi="宋体" w:cs="宋体"/>
                <w:bCs/>
                <w:color w:val="000000" w:themeColor="text1"/>
                <w:sz w:val="24"/>
                <w14:textFill>
                  <w14:solidFill>
                    <w14:schemeClr w14:val="tx1"/>
                  </w14:solidFill>
                </w14:textFill>
              </w:rPr>
              <w:t>Ⅳ</w:t>
            </w:r>
            <w:r>
              <w:rPr>
                <w:bCs/>
                <w:color w:val="000000" w:themeColor="text1"/>
                <w:sz w:val="24"/>
                <w14:textFill>
                  <w14:solidFill>
                    <w14:schemeClr w14:val="tx1"/>
                  </w14:solidFill>
                </w14:textFill>
              </w:rPr>
              <w:t>类</w:t>
            </w:r>
          </w:p>
        </w:tc>
        <w:tc>
          <w:tcPr>
            <w:tcW w:w="2132" w:type="dxa"/>
            <w:vAlign w:val="center"/>
          </w:tcPr>
          <w:p>
            <w:pPr>
              <w:spacing w:line="360" w:lineRule="auto"/>
              <w:jc w:val="center"/>
              <w:rPr>
                <w:bCs/>
                <w:sz w:val="24"/>
              </w:rPr>
            </w:pPr>
            <w:r>
              <w:rPr>
                <w:bCs/>
                <w:sz w:val="24"/>
              </w:rPr>
              <w:t>202</w:t>
            </w:r>
            <w:r>
              <w:rPr>
                <w:rFonts w:hint="eastAsia"/>
                <w:bCs/>
                <w:sz w:val="24"/>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383" w:type="dxa"/>
            <w:vAlign w:val="center"/>
          </w:tcPr>
          <w:p>
            <w:pPr>
              <w:spacing w:line="360" w:lineRule="auto"/>
              <w:jc w:val="center"/>
              <w:rPr>
                <w:bCs/>
                <w:sz w:val="24"/>
              </w:rPr>
            </w:pPr>
            <w:r>
              <w:rPr>
                <w:bCs/>
                <w:sz w:val="24"/>
              </w:rPr>
              <w:t>2</w:t>
            </w:r>
          </w:p>
        </w:tc>
        <w:tc>
          <w:tcPr>
            <w:tcW w:w="2881" w:type="dxa"/>
            <w:vAlign w:val="center"/>
          </w:tcPr>
          <w:p>
            <w:pPr>
              <w:spacing w:line="360" w:lineRule="auto"/>
              <w:jc w:val="center"/>
              <w:rPr>
                <w:bCs/>
                <w:sz w:val="24"/>
              </w:rPr>
            </w:pPr>
            <w:r>
              <w:rPr>
                <w:rFonts w:hint="eastAsia" w:eastAsiaTheme="minorEastAsia"/>
                <w:sz w:val="24"/>
              </w:rPr>
              <w:t>大运河洪灵沟交汇处断面</w:t>
            </w:r>
          </w:p>
        </w:tc>
        <w:tc>
          <w:tcPr>
            <w:tcW w:w="2132" w:type="dxa"/>
            <w:vAlign w:val="center"/>
          </w:tcPr>
          <w:p>
            <w:pPr>
              <w:spacing w:line="360" w:lineRule="auto"/>
              <w:jc w:val="center"/>
              <w:rPr>
                <w:bCs/>
                <w:sz w:val="24"/>
              </w:rPr>
            </w:pPr>
            <w:r>
              <w:rPr>
                <w:rFonts w:hint="eastAsia" w:ascii="宋体" w:hAnsi="宋体" w:cs="宋体"/>
                <w:bCs/>
                <w:sz w:val="24"/>
              </w:rPr>
              <w:t>Ⅳ</w:t>
            </w:r>
            <w:r>
              <w:rPr>
                <w:bCs/>
                <w:sz w:val="24"/>
              </w:rPr>
              <w:t>类</w:t>
            </w:r>
          </w:p>
        </w:tc>
        <w:tc>
          <w:tcPr>
            <w:tcW w:w="2132" w:type="dxa"/>
            <w:vAlign w:val="center"/>
          </w:tcPr>
          <w:p>
            <w:pPr>
              <w:jc w:val="center"/>
            </w:pPr>
            <w:r>
              <w:rPr>
                <w:bCs/>
                <w:sz w:val="24"/>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383" w:type="dxa"/>
            <w:vAlign w:val="center"/>
          </w:tcPr>
          <w:p>
            <w:pPr>
              <w:spacing w:line="360" w:lineRule="auto"/>
              <w:jc w:val="center"/>
              <w:rPr>
                <w:bCs/>
                <w:sz w:val="24"/>
              </w:rPr>
            </w:pPr>
            <w:r>
              <w:rPr>
                <w:bCs/>
                <w:sz w:val="24"/>
              </w:rPr>
              <w:t>3</w:t>
            </w:r>
          </w:p>
        </w:tc>
        <w:tc>
          <w:tcPr>
            <w:tcW w:w="2881" w:type="dxa"/>
            <w:vAlign w:val="center"/>
          </w:tcPr>
          <w:p>
            <w:pPr>
              <w:spacing w:line="360" w:lineRule="auto"/>
              <w:jc w:val="center"/>
              <w:rPr>
                <w:bCs/>
                <w:sz w:val="24"/>
              </w:rPr>
            </w:pPr>
            <w:r>
              <w:rPr>
                <w:rFonts w:eastAsiaTheme="minorEastAsia"/>
                <w:sz w:val="24"/>
              </w:rPr>
              <w:t>泗州桥断面</w:t>
            </w:r>
          </w:p>
        </w:tc>
        <w:tc>
          <w:tcPr>
            <w:tcW w:w="2132" w:type="dxa"/>
            <w:vAlign w:val="center"/>
          </w:tcPr>
          <w:p>
            <w:pPr>
              <w:jc w:val="center"/>
            </w:pPr>
            <w:r>
              <w:rPr>
                <w:rFonts w:hint="eastAsia" w:ascii="宋体" w:hAnsi="宋体" w:cs="宋体"/>
                <w:bCs/>
                <w:sz w:val="24"/>
              </w:rPr>
              <w:t>Ⅳ</w:t>
            </w:r>
            <w:r>
              <w:rPr>
                <w:bCs/>
                <w:sz w:val="24"/>
              </w:rPr>
              <w:t>类</w:t>
            </w:r>
          </w:p>
        </w:tc>
        <w:tc>
          <w:tcPr>
            <w:tcW w:w="2132" w:type="dxa"/>
            <w:vAlign w:val="center"/>
          </w:tcPr>
          <w:p>
            <w:pPr>
              <w:jc w:val="center"/>
            </w:pPr>
            <w:r>
              <w:rPr>
                <w:bCs/>
                <w:sz w:val="24"/>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383" w:type="dxa"/>
            <w:vAlign w:val="center"/>
          </w:tcPr>
          <w:p>
            <w:pPr>
              <w:spacing w:line="360" w:lineRule="auto"/>
              <w:jc w:val="center"/>
              <w:rPr>
                <w:bCs/>
                <w:sz w:val="24"/>
              </w:rPr>
            </w:pPr>
            <w:r>
              <w:rPr>
                <w:bCs/>
                <w:sz w:val="24"/>
              </w:rPr>
              <w:t>4</w:t>
            </w:r>
          </w:p>
        </w:tc>
        <w:tc>
          <w:tcPr>
            <w:tcW w:w="2881" w:type="dxa"/>
            <w:vAlign w:val="center"/>
          </w:tcPr>
          <w:p>
            <w:pPr>
              <w:spacing w:line="360" w:lineRule="auto"/>
              <w:jc w:val="center"/>
              <w:rPr>
                <w:bCs/>
                <w:sz w:val="24"/>
              </w:rPr>
            </w:pPr>
            <w:r>
              <w:rPr>
                <w:rFonts w:eastAsiaTheme="minorEastAsia"/>
                <w:sz w:val="24"/>
              </w:rPr>
              <w:t>东关桥断面</w:t>
            </w:r>
          </w:p>
        </w:tc>
        <w:tc>
          <w:tcPr>
            <w:tcW w:w="2132" w:type="dxa"/>
            <w:vAlign w:val="center"/>
          </w:tcPr>
          <w:p>
            <w:pPr>
              <w:jc w:val="center"/>
            </w:pPr>
            <w:r>
              <w:rPr>
                <w:rFonts w:hint="eastAsia" w:ascii="宋体" w:hAnsi="宋体" w:cs="宋体"/>
                <w:bCs/>
                <w:sz w:val="24"/>
              </w:rPr>
              <w:t>Ⅳ</w:t>
            </w:r>
            <w:r>
              <w:rPr>
                <w:bCs/>
                <w:sz w:val="24"/>
              </w:rPr>
              <w:t>类</w:t>
            </w:r>
          </w:p>
        </w:tc>
        <w:tc>
          <w:tcPr>
            <w:tcW w:w="2132" w:type="dxa"/>
            <w:vAlign w:val="center"/>
          </w:tcPr>
          <w:p>
            <w:pPr>
              <w:jc w:val="center"/>
            </w:pPr>
            <w:r>
              <w:rPr>
                <w:bCs/>
                <w:sz w:val="24"/>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7" w:hRule="atLeast"/>
          <w:jc w:val="center"/>
        </w:trPr>
        <w:tc>
          <w:tcPr>
            <w:tcW w:w="1383" w:type="dxa"/>
            <w:vAlign w:val="center"/>
          </w:tcPr>
          <w:p>
            <w:pPr>
              <w:spacing w:line="360" w:lineRule="auto"/>
              <w:jc w:val="center"/>
              <w:rPr>
                <w:bCs/>
                <w:sz w:val="24"/>
              </w:rPr>
            </w:pPr>
            <w:r>
              <w:rPr>
                <w:bCs/>
                <w:sz w:val="24"/>
              </w:rPr>
              <w:t>5</w:t>
            </w:r>
          </w:p>
        </w:tc>
        <w:tc>
          <w:tcPr>
            <w:tcW w:w="2881" w:type="dxa"/>
            <w:vAlign w:val="center"/>
          </w:tcPr>
          <w:p>
            <w:pPr>
              <w:spacing w:line="360" w:lineRule="auto"/>
              <w:jc w:val="center"/>
              <w:rPr>
                <w:bCs/>
                <w:sz w:val="24"/>
              </w:rPr>
            </w:pPr>
            <w:r>
              <w:rPr>
                <w:rFonts w:eastAsiaTheme="minorEastAsia"/>
                <w:sz w:val="24"/>
              </w:rPr>
              <w:t>濉河大运河交汇处断面</w:t>
            </w:r>
          </w:p>
        </w:tc>
        <w:tc>
          <w:tcPr>
            <w:tcW w:w="2132" w:type="dxa"/>
            <w:vAlign w:val="center"/>
          </w:tcPr>
          <w:p>
            <w:pPr>
              <w:jc w:val="center"/>
            </w:pPr>
            <w:r>
              <w:rPr>
                <w:rFonts w:hint="eastAsia" w:ascii="宋体" w:hAnsi="宋体" w:cs="宋体"/>
                <w:bCs/>
                <w:sz w:val="24"/>
              </w:rPr>
              <w:t>Ⅳ</w:t>
            </w:r>
            <w:r>
              <w:rPr>
                <w:bCs/>
                <w:sz w:val="24"/>
              </w:rPr>
              <w:t>类</w:t>
            </w:r>
          </w:p>
        </w:tc>
        <w:tc>
          <w:tcPr>
            <w:tcW w:w="2132" w:type="dxa"/>
            <w:vAlign w:val="center"/>
          </w:tcPr>
          <w:p>
            <w:pPr>
              <w:jc w:val="center"/>
            </w:pPr>
            <w:r>
              <w:rPr>
                <w:bCs/>
                <w:sz w:val="24"/>
              </w:rPr>
              <w:t>202</w:t>
            </w:r>
            <w:r>
              <w:rPr>
                <w:rFonts w:hint="eastAsia"/>
                <w:bCs/>
                <w:sz w:val="24"/>
              </w:rPr>
              <w:t>1</w:t>
            </w:r>
          </w:p>
        </w:tc>
      </w:tr>
    </w:tbl>
    <w:p>
      <w:pPr>
        <w:pStyle w:val="24"/>
        <w:shd w:val="clear" w:color="auto" w:fill="FFFFFF"/>
        <w:rPr>
          <w:rFonts w:ascii="微软雅黑" w:hAnsi="微软雅黑"/>
          <w:color w:val="000000" w:themeColor="text1"/>
          <w:sz w:val="21"/>
          <w14:textFill>
            <w14:solidFill>
              <w14:schemeClr w14:val="tx1"/>
            </w14:solidFill>
          </w14:textFill>
        </w:rPr>
      </w:pPr>
    </w:p>
    <w:p>
      <w:pPr>
        <w:pStyle w:val="2"/>
        <w:spacing w:after="0" w:line="360" w:lineRule="auto"/>
        <w:ind w:left="0" w:leftChars="0" w:firstLine="562" w:firstLineChars="200"/>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（2）空气环境质量</w:t>
      </w:r>
    </w:p>
    <w:p>
      <w:pPr>
        <w:spacing w:line="360" w:lineRule="auto"/>
        <w:jc w:val="center"/>
        <w:rPr>
          <w:b/>
          <w:bCs/>
          <w:sz w:val="24"/>
        </w:rPr>
      </w:pPr>
      <w:r>
        <w:rPr>
          <w:b/>
          <w:bCs/>
          <w:sz w:val="24"/>
        </w:rPr>
        <w:t>表</w:t>
      </w:r>
      <w:r>
        <w:rPr>
          <w:rFonts w:hint="eastAsia"/>
          <w:b/>
          <w:bCs/>
          <w:sz w:val="24"/>
        </w:rPr>
        <w:t>1-4</w:t>
      </w:r>
      <w:r>
        <w:rPr>
          <w:b/>
          <w:bCs/>
          <w:sz w:val="24"/>
        </w:rPr>
        <w:t xml:space="preserve"> </w:t>
      </w:r>
      <w:r>
        <w:rPr>
          <w:rFonts w:hint="eastAsia"/>
          <w:b/>
          <w:bCs/>
          <w:sz w:val="24"/>
        </w:rPr>
        <w:t xml:space="preserve"> 大运河宿州段</w:t>
      </w:r>
      <w:r>
        <w:rPr>
          <w:b/>
          <w:bCs/>
          <w:sz w:val="24"/>
        </w:rPr>
        <w:t>各区县基准和目标</w:t>
      </w:r>
      <w:r>
        <w:rPr>
          <w:rFonts w:hint="eastAsia"/>
          <w:b/>
          <w:bCs/>
          <w:sz w:val="24"/>
        </w:rPr>
        <w:t>空气污染物</w:t>
      </w:r>
      <w:r>
        <w:rPr>
          <w:b/>
          <w:bCs/>
          <w:sz w:val="24"/>
        </w:rPr>
        <w:t>浓度</w:t>
      </w:r>
    </w:p>
    <w:tbl>
      <w:tblPr>
        <w:tblStyle w:val="29"/>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2"/>
        <w:gridCol w:w="2403"/>
        <w:gridCol w:w="2403"/>
        <w:gridCol w:w="24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0" w:hRule="atLeast"/>
          <w:tblHeader/>
        </w:trPr>
        <w:tc>
          <w:tcPr>
            <w:tcW w:w="1322" w:type="dxa"/>
            <w:vAlign w:val="center"/>
          </w:tcPr>
          <w:p>
            <w:pPr>
              <w:widowControl/>
              <w:jc w:val="center"/>
              <w:rPr>
                <w:b/>
                <w:bCs/>
                <w:kern w:val="0"/>
                <w:sz w:val="24"/>
                <w:lang w:bidi="ar"/>
              </w:rPr>
            </w:pPr>
            <w:r>
              <w:rPr>
                <w:b/>
                <w:bCs/>
                <w:kern w:val="0"/>
                <w:sz w:val="24"/>
                <w:lang w:bidi="ar"/>
              </w:rPr>
              <w:t>区县</w:t>
            </w:r>
          </w:p>
        </w:tc>
        <w:tc>
          <w:tcPr>
            <w:tcW w:w="2403" w:type="dxa"/>
            <w:vAlign w:val="center"/>
          </w:tcPr>
          <w:p>
            <w:pPr>
              <w:widowControl/>
              <w:jc w:val="center"/>
              <w:rPr>
                <w:b/>
                <w:bCs/>
                <w:kern w:val="0"/>
                <w:sz w:val="24"/>
                <w:lang w:bidi="ar"/>
              </w:rPr>
            </w:pPr>
            <w:r>
              <w:rPr>
                <w:rFonts w:hint="eastAsia"/>
                <w:b/>
                <w:bCs/>
                <w:kern w:val="0"/>
                <w:sz w:val="24"/>
                <w:lang w:bidi="ar"/>
              </w:rPr>
              <w:t>项目</w:t>
            </w:r>
          </w:p>
        </w:tc>
        <w:tc>
          <w:tcPr>
            <w:tcW w:w="2403" w:type="dxa"/>
            <w:vAlign w:val="center"/>
          </w:tcPr>
          <w:p>
            <w:pPr>
              <w:widowControl/>
              <w:jc w:val="center"/>
              <w:rPr>
                <w:b/>
                <w:bCs/>
                <w:kern w:val="0"/>
                <w:sz w:val="24"/>
                <w:lang w:bidi="ar"/>
              </w:rPr>
            </w:pPr>
            <w:r>
              <w:rPr>
                <w:b/>
                <w:bCs/>
                <w:kern w:val="0"/>
                <w:sz w:val="24"/>
                <w:lang w:bidi="ar"/>
              </w:rPr>
              <w:t>201</w:t>
            </w:r>
            <w:r>
              <w:rPr>
                <w:rFonts w:hint="eastAsia"/>
                <w:b/>
                <w:bCs/>
                <w:kern w:val="0"/>
                <w:sz w:val="24"/>
                <w:lang w:bidi="ar"/>
              </w:rPr>
              <w:t>9</w:t>
            </w:r>
            <w:r>
              <w:rPr>
                <w:b/>
                <w:bCs/>
                <w:kern w:val="0"/>
                <w:sz w:val="24"/>
                <w:lang w:bidi="ar"/>
              </w:rPr>
              <w:t>年基准</w:t>
            </w:r>
          </w:p>
        </w:tc>
        <w:tc>
          <w:tcPr>
            <w:tcW w:w="2400" w:type="dxa"/>
            <w:vAlign w:val="center"/>
          </w:tcPr>
          <w:p>
            <w:pPr>
              <w:widowControl/>
              <w:jc w:val="center"/>
              <w:rPr>
                <w:b/>
                <w:bCs/>
                <w:kern w:val="0"/>
                <w:sz w:val="24"/>
                <w:lang w:bidi="ar"/>
              </w:rPr>
            </w:pPr>
            <w:r>
              <w:rPr>
                <w:b/>
                <w:bCs/>
                <w:kern w:val="0"/>
                <w:sz w:val="24"/>
                <w:lang w:bidi="ar"/>
              </w:rPr>
              <w:t>2025年目标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22" w:type="dxa"/>
            <w:vMerge w:val="restart"/>
            <w:vAlign w:val="center"/>
          </w:tcPr>
          <w:p>
            <w:pPr>
              <w:widowControl/>
              <w:jc w:val="center"/>
              <w:rPr>
                <w:kern w:val="0"/>
                <w:sz w:val="24"/>
                <w:lang w:bidi="ar"/>
              </w:rPr>
            </w:pPr>
            <w:r>
              <w:rPr>
                <w:kern w:val="0"/>
                <w:sz w:val="24"/>
                <w:lang w:bidi="ar"/>
              </w:rPr>
              <w:t>灵璧县</w:t>
            </w:r>
          </w:p>
        </w:tc>
        <w:tc>
          <w:tcPr>
            <w:tcW w:w="2403" w:type="dxa"/>
            <w:vAlign w:val="center"/>
          </w:tcPr>
          <w:p>
            <w:pPr>
              <w:widowControl/>
              <w:jc w:val="center"/>
              <w:rPr>
                <w:kern w:val="0"/>
                <w:sz w:val="24"/>
                <w:lang w:bidi="ar"/>
              </w:rPr>
            </w:pPr>
            <w:r>
              <w:rPr>
                <w:rFonts w:hint="eastAsia"/>
                <w:kern w:val="0"/>
                <w:sz w:val="24"/>
                <w:lang w:bidi="ar"/>
              </w:rPr>
              <w:t>PM</w:t>
            </w:r>
            <w:r>
              <w:rPr>
                <w:rFonts w:hint="eastAsia"/>
                <w:kern w:val="0"/>
                <w:sz w:val="24"/>
                <w:vertAlign w:val="subscript"/>
                <w:lang w:bidi="ar"/>
              </w:rPr>
              <w:t>2.5</w:t>
            </w:r>
            <w:r>
              <w:rPr>
                <w:rFonts w:hint="eastAsia"/>
                <w:kern w:val="0"/>
                <w:sz w:val="24"/>
                <w:lang w:bidi="ar"/>
              </w:rPr>
              <w:t>（</w:t>
            </w:r>
            <w:r>
              <w:rPr>
                <w:bCs/>
                <w:sz w:val="24"/>
              </w:rPr>
              <w:t>ug/m</w:t>
            </w:r>
            <w:r>
              <w:rPr>
                <w:bCs/>
                <w:sz w:val="24"/>
                <w:vertAlign w:val="superscript"/>
              </w:rPr>
              <w:t>3</w:t>
            </w:r>
            <w:r>
              <w:rPr>
                <w:rFonts w:hint="eastAsia"/>
                <w:kern w:val="0"/>
                <w:sz w:val="24"/>
                <w:lang w:bidi="ar"/>
              </w:rPr>
              <w:t>）</w:t>
            </w:r>
          </w:p>
        </w:tc>
        <w:tc>
          <w:tcPr>
            <w:tcW w:w="2403" w:type="dxa"/>
            <w:vAlign w:val="center"/>
          </w:tcPr>
          <w:p>
            <w:pPr>
              <w:widowControl/>
              <w:jc w:val="center"/>
              <w:rPr>
                <w:kern w:val="0"/>
                <w:sz w:val="24"/>
                <w:lang w:bidi="ar"/>
              </w:rPr>
            </w:pPr>
            <w:r>
              <w:rPr>
                <w:rFonts w:hint="eastAsia"/>
                <w:kern w:val="0"/>
                <w:sz w:val="24"/>
                <w:lang w:bidi="ar"/>
              </w:rPr>
              <w:t>54</w:t>
            </w:r>
          </w:p>
        </w:tc>
        <w:tc>
          <w:tcPr>
            <w:tcW w:w="2400" w:type="dxa"/>
            <w:vAlign w:val="center"/>
          </w:tcPr>
          <w:p>
            <w:pPr>
              <w:widowControl/>
              <w:jc w:val="center"/>
              <w:rPr>
                <w:kern w:val="0"/>
                <w:sz w:val="24"/>
                <w:lang w:bidi="ar"/>
              </w:rPr>
            </w:pPr>
            <w:r>
              <w:rPr>
                <w:rFonts w:hint="eastAsia"/>
                <w:kern w:val="0"/>
                <w:sz w:val="24"/>
                <w:lang w:bidi="ar"/>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22" w:type="dxa"/>
            <w:vMerge w:val="continue"/>
            <w:vAlign w:val="center"/>
          </w:tcPr>
          <w:p>
            <w:pPr>
              <w:widowControl/>
              <w:jc w:val="center"/>
              <w:rPr>
                <w:kern w:val="0"/>
                <w:sz w:val="24"/>
                <w:lang w:bidi="ar"/>
              </w:rPr>
            </w:pPr>
          </w:p>
        </w:tc>
        <w:tc>
          <w:tcPr>
            <w:tcW w:w="2403" w:type="dxa"/>
            <w:vAlign w:val="center"/>
          </w:tcPr>
          <w:p>
            <w:pPr>
              <w:widowControl/>
              <w:jc w:val="center"/>
              <w:rPr>
                <w:kern w:val="0"/>
                <w:sz w:val="24"/>
                <w:lang w:bidi="ar"/>
              </w:rPr>
            </w:pPr>
            <w:r>
              <w:rPr>
                <w:rFonts w:hint="eastAsia"/>
                <w:kern w:val="0"/>
                <w:sz w:val="24"/>
                <w:lang w:bidi="ar"/>
              </w:rPr>
              <w:t>SO</w:t>
            </w:r>
            <w:r>
              <w:rPr>
                <w:rFonts w:hint="eastAsia"/>
                <w:kern w:val="0"/>
                <w:sz w:val="24"/>
                <w:vertAlign w:val="subscript"/>
                <w:lang w:bidi="ar"/>
              </w:rPr>
              <w:t>2</w:t>
            </w:r>
            <w:r>
              <w:rPr>
                <w:rFonts w:hint="eastAsia"/>
                <w:kern w:val="0"/>
                <w:sz w:val="24"/>
                <w:lang w:bidi="ar"/>
              </w:rPr>
              <w:t>（</w:t>
            </w:r>
            <w:r>
              <w:rPr>
                <w:bCs/>
                <w:sz w:val="24"/>
              </w:rPr>
              <w:t>ug/m</w:t>
            </w:r>
            <w:r>
              <w:rPr>
                <w:bCs/>
                <w:sz w:val="24"/>
                <w:vertAlign w:val="superscript"/>
              </w:rPr>
              <w:t>3</w:t>
            </w:r>
            <w:r>
              <w:rPr>
                <w:rFonts w:hint="eastAsia"/>
                <w:kern w:val="0"/>
                <w:sz w:val="24"/>
                <w:lang w:bidi="ar"/>
              </w:rPr>
              <w:t>）</w:t>
            </w:r>
          </w:p>
        </w:tc>
        <w:tc>
          <w:tcPr>
            <w:tcW w:w="2403" w:type="dxa"/>
            <w:vAlign w:val="center"/>
          </w:tcPr>
          <w:p>
            <w:pPr>
              <w:widowControl/>
              <w:jc w:val="center"/>
              <w:rPr>
                <w:kern w:val="0"/>
                <w:sz w:val="24"/>
                <w:lang w:bidi="ar"/>
              </w:rPr>
            </w:pPr>
            <w:r>
              <w:rPr>
                <w:rFonts w:hint="eastAsia"/>
                <w:kern w:val="0"/>
                <w:sz w:val="24"/>
                <w:lang w:bidi="ar"/>
              </w:rPr>
              <w:t>10</w:t>
            </w:r>
          </w:p>
        </w:tc>
        <w:tc>
          <w:tcPr>
            <w:tcW w:w="2400" w:type="dxa"/>
            <w:vAlign w:val="center"/>
          </w:tcPr>
          <w:p>
            <w:pPr>
              <w:widowControl/>
              <w:jc w:val="center"/>
              <w:rPr>
                <w:kern w:val="0"/>
                <w:sz w:val="24"/>
                <w:lang w:bidi="ar"/>
              </w:rPr>
            </w:pPr>
            <w:r>
              <w:rPr>
                <w:rFonts w:hint="eastAsia"/>
                <w:kern w:val="0"/>
                <w:sz w:val="24"/>
                <w:lang w:bidi="ar"/>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22" w:type="dxa"/>
            <w:vMerge w:val="continue"/>
            <w:vAlign w:val="center"/>
          </w:tcPr>
          <w:p>
            <w:pPr>
              <w:widowControl/>
              <w:jc w:val="center"/>
              <w:rPr>
                <w:kern w:val="0"/>
                <w:sz w:val="24"/>
                <w:lang w:bidi="ar"/>
              </w:rPr>
            </w:pPr>
          </w:p>
        </w:tc>
        <w:tc>
          <w:tcPr>
            <w:tcW w:w="2403" w:type="dxa"/>
            <w:vAlign w:val="center"/>
          </w:tcPr>
          <w:p>
            <w:pPr>
              <w:widowControl/>
              <w:jc w:val="center"/>
              <w:rPr>
                <w:kern w:val="0"/>
                <w:sz w:val="24"/>
                <w:lang w:bidi="ar"/>
              </w:rPr>
            </w:pPr>
            <w:r>
              <w:rPr>
                <w:rFonts w:hint="eastAsia"/>
                <w:kern w:val="0"/>
                <w:sz w:val="24"/>
                <w:lang w:bidi="ar"/>
              </w:rPr>
              <w:t>NO</w:t>
            </w:r>
            <w:r>
              <w:rPr>
                <w:rFonts w:hint="eastAsia"/>
                <w:kern w:val="0"/>
                <w:sz w:val="24"/>
                <w:vertAlign w:val="subscript"/>
                <w:lang w:bidi="ar"/>
              </w:rPr>
              <w:t>2</w:t>
            </w:r>
            <w:r>
              <w:rPr>
                <w:rFonts w:hint="eastAsia"/>
                <w:kern w:val="0"/>
                <w:sz w:val="24"/>
                <w:lang w:bidi="ar"/>
              </w:rPr>
              <w:t>（</w:t>
            </w:r>
            <w:r>
              <w:rPr>
                <w:bCs/>
                <w:sz w:val="24"/>
              </w:rPr>
              <w:t>ug/m</w:t>
            </w:r>
            <w:r>
              <w:rPr>
                <w:bCs/>
                <w:sz w:val="24"/>
                <w:vertAlign w:val="superscript"/>
              </w:rPr>
              <w:t>3</w:t>
            </w:r>
            <w:r>
              <w:rPr>
                <w:rFonts w:hint="eastAsia"/>
                <w:kern w:val="0"/>
                <w:sz w:val="24"/>
                <w:lang w:bidi="ar"/>
              </w:rPr>
              <w:t>）</w:t>
            </w:r>
          </w:p>
        </w:tc>
        <w:tc>
          <w:tcPr>
            <w:tcW w:w="2403" w:type="dxa"/>
            <w:vAlign w:val="center"/>
          </w:tcPr>
          <w:p>
            <w:pPr>
              <w:widowControl/>
              <w:jc w:val="center"/>
              <w:rPr>
                <w:kern w:val="0"/>
                <w:sz w:val="24"/>
                <w:lang w:bidi="ar"/>
              </w:rPr>
            </w:pPr>
            <w:r>
              <w:rPr>
                <w:rFonts w:hint="eastAsia"/>
                <w:kern w:val="0"/>
                <w:sz w:val="24"/>
                <w:lang w:bidi="ar"/>
              </w:rPr>
              <w:t>23</w:t>
            </w:r>
          </w:p>
        </w:tc>
        <w:tc>
          <w:tcPr>
            <w:tcW w:w="2400" w:type="dxa"/>
            <w:vAlign w:val="center"/>
          </w:tcPr>
          <w:p>
            <w:pPr>
              <w:widowControl/>
              <w:jc w:val="center"/>
              <w:rPr>
                <w:kern w:val="0"/>
                <w:sz w:val="24"/>
                <w:lang w:bidi="ar"/>
              </w:rPr>
            </w:pPr>
            <w:r>
              <w:rPr>
                <w:rFonts w:hint="eastAsia"/>
                <w:kern w:val="0"/>
                <w:sz w:val="24"/>
                <w:lang w:bidi="ar"/>
              </w:rPr>
              <w:t>20</w:t>
            </w:r>
            <w:r>
              <w:rPr>
                <w:b/>
                <w:bCs/>
                <w:sz w:val="24"/>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22" w:type="dxa"/>
            <w:vMerge w:val="continue"/>
            <w:vAlign w:val="center"/>
          </w:tcPr>
          <w:p>
            <w:pPr>
              <w:widowControl/>
              <w:jc w:val="center"/>
              <w:rPr>
                <w:kern w:val="0"/>
                <w:sz w:val="24"/>
                <w:lang w:bidi="ar"/>
              </w:rPr>
            </w:pPr>
          </w:p>
        </w:tc>
        <w:tc>
          <w:tcPr>
            <w:tcW w:w="2403" w:type="dxa"/>
            <w:vAlign w:val="center"/>
          </w:tcPr>
          <w:p>
            <w:pPr>
              <w:widowControl/>
              <w:jc w:val="center"/>
              <w:rPr>
                <w:kern w:val="0"/>
                <w:sz w:val="24"/>
                <w:lang w:bidi="ar"/>
              </w:rPr>
            </w:pPr>
            <w:r>
              <w:rPr>
                <w:rFonts w:hint="eastAsia"/>
                <w:kern w:val="0"/>
                <w:sz w:val="24"/>
                <w:lang w:bidi="ar"/>
              </w:rPr>
              <w:t>CO（</w:t>
            </w:r>
            <w:r>
              <w:rPr>
                <w:rFonts w:hint="eastAsia"/>
                <w:bCs/>
                <w:sz w:val="24"/>
              </w:rPr>
              <w:t>m</w:t>
            </w:r>
            <w:r>
              <w:rPr>
                <w:bCs/>
                <w:sz w:val="24"/>
              </w:rPr>
              <w:t>g/m</w:t>
            </w:r>
            <w:r>
              <w:rPr>
                <w:bCs/>
                <w:sz w:val="24"/>
                <w:vertAlign w:val="superscript"/>
              </w:rPr>
              <w:t>3</w:t>
            </w:r>
            <w:r>
              <w:rPr>
                <w:rFonts w:hint="eastAsia"/>
                <w:kern w:val="0"/>
                <w:sz w:val="24"/>
                <w:lang w:bidi="ar"/>
              </w:rPr>
              <w:t>）</w:t>
            </w:r>
          </w:p>
        </w:tc>
        <w:tc>
          <w:tcPr>
            <w:tcW w:w="2403" w:type="dxa"/>
            <w:vAlign w:val="center"/>
          </w:tcPr>
          <w:p>
            <w:pPr>
              <w:widowControl/>
              <w:jc w:val="center"/>
              <w:rPr>
                <w:kern w:val="0"/>
                <w:sz w:val="24"/>
                <w:lang w:bidi="ar"/>
              </w:rPr>
            </w:pPr>
            <w:r>
              <w:rPr>
                <w:rFonts w:hint="eastAsia"/>
                <w:kern w:val="0"/>
                <w:sz w:val="24"/>
                <w:lang w:bidi="ar"/>
              </w:rPr>
              <w:t>1.2</w:t>
            </w:r>
          </w:p>
        </w:tc>
        <w:tc>
          <w:tcPr>
            <w:tcW w:w="2400" w:type="dxa"/>
            <w:vAlign w:val="center"/>
          </w:tcPr>
          <w:p>
            <w:pPr>
              <w:widowControl/>
              <w:jc w:val="center"/>
              <w:rPr>
                <w:kern w:val="0"/>
                <w:sz w:val="24"/>
                <w:lang w:bidi="ar"/>
              </w:rPr>
            </w:pPr>
            <w:r>
              <w:rPr>
                <w:rFonts w:hint="eastAsia"/>
                <w:kern w:val="0"/>
                <w:sz w:val="24"/>
                <w:lang w:bidi="ar"/>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22" w:type="dxa"/>
            <w:vMerge w:val="continue"/>
            <w:vAlign w:val="center"/>
          </w:tcPr>
          <w:p>
            <w:pPr>
              <w:widowControl/>
              <w:jc w:val="center"/>
              <w:rPr>
                <w:kern w:val="0"/>
                <w:sz w:val="24"/>
                <w:lang w:bidi="ar"/>
              </w:rPr>
            </w:pPr>
          </w:p>
        </w:tc>
        <w:tc>
          <w:tcPr>
            <w:tcW w:w="2403" w:type="dxa"/>
            <w:vAlign w:val="center"/>
          </w:tcPr>
          <w:p>
            <w:pPr>
              <w:widowControl/>
              <w:jc w:val="center"/>
              <w:rPr>
                <w:kern w:val="0"/>
                <w:sz w:val="24"/>
                <w:lang w:bidi="ar"/>
              </w:rPr>
            </w:pPr>
            <w:r>
              <w:rPr>
                <w:rFonts w:hint="eastAsia"/>
                <w:kern w:val="0"/>
                <w:sz w:val="24"/>
                <w:lang w:bidi="ar"/>
              </w:rPr>
              <w:t>O</w:t>
            </w:r>
            <w:r>
              <w:rPr>
                <w:rFonts w:hint="eastAsia"/>
                <w:kern w:val="0"/>
                <w:sz w:val="24"/>
                <w:vertAlign w:val="subscript"/>
                <w:lang w:bidi="ar"/>
              </w:rPr>
              <w:t>3</w:t>
            </w:r>
            <w:r>
              <w:rPr>
                <w:rFonts w:hint="eastAsia"/>
                <w:kern w:val="0"/>
                <w:sz w:val="24"/>
                <w:lang w:bidi="ar"/>
              </w:rPr>
              <w:t>（</w:t>
            </w:r>
            <w:r>
              <w:rPr>
                <w:bCs/>
                <w:sz w:val="24"/>
              </w:rPr>
              <w:t>ug/m</w:t>
            </w:r>
            <w:r>
              <w:rPr>
                <w:bCs/>
                <w:sz w:val="24"/>
                <w:vertAlign w:val="superscript"/>
              </w:rPr>
              <w:t>3</w:t>
            </w:r>
            <w:r>
              <w:rPr>
                <w:rFonts w:hint="eastAsia"/>
                <w:kern w:val="0"/>
                <w:sz w:val="24"/>
                <w:lang w:bidi="ar"/>
              </w:rPr>
              <w:t>）</w:t>
            </w:r>
          </w:p>
        </w:tc>
        <w:tc>
          <w:tcPr>
            <w:tcW w:w="2403" w:type="dxa"/>
            <w:vAlign w:val="center"/>
          </w:tcPr>
          <w:p>
            <w:pPr>
              <w:jc w:val="center"/>
            </w:pPr>
            <w:r>
              <w:rPr>
                <w:rFonts w:hint="eastAsia"/>
                <w:kern w:val="0"/>
                <w:sz w:val="24"/>
                <w:lang w:bidi="ar"/>
              </w:rPr>
              <w:t>175</w:t>
            </w:r>
          </w:p>
        </w:tc>
        <w:tc>
          <w:tcPr>
            <w:tcW w:w="2400" w:type="dxa"/>
            <w:vAlign w:val="center"/>
          </w:tcPr>
          <w:p>
            <w:pPr>
              <w:jc w:val="center"/>
            </w:pPr>
            <w:r>
              <w:rPr>
                <w:rFonts w:hint="eastAsia"/>
                <w:kern w:val="0"/>
                <w:sz w:val="24"/>
                <w:lang w:bidi="ar"/>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322" w:type="dxa"/>
            <w:vMerge w:val="continue"/>
            <w:vAlign w:val="center"/>
          </w:tcPr>
          <w:p>
            <w:pPr>
              <w:widowControl/>
              <w:jc w:val="center"/>
              <w:rPr>
                <w:kern w:val="0"/>
                <w:sz w:val="24"/>
                <w:lang w:bidi="ar"/>
              </w:rPr>
            </w:pPr>
          </w:p>
        </w:tc>
        <w:tc>
          <w:tcPr>
            <w:tcW w:w="2403" w:type="dxa"/>
            <w:vAlign w:val="center"/>
          </w:tcPr>
          <w:p>
            <w:pPr>
              <w:widowControl/>
              <w:jc w:val="center"/>
              <w:rPr>
                <w:kern w:val="0"/>
                <w:sz w:val="24"/>
                <w:lang w:bidi="ar"/>
              </w:rPr>
            </w:pPr>
            <w:r>
              <w:rPr>
                <w:rFonts w:hint="eastAsia"/>
                <w:kern w:val="0"/>
                <w:sz w:val="24"/>
                <w:lang w:bidi="ar"/>
              </w:rPr>
              <w:t>PM</w:t>
            </w:r>
            <w:r>
              <w:rPr>
                <w:rFonts w:hint="eastAsia"/>
                <w:kern w:val="0"/>
                <w:sz w:val="24"/>
                <w:vertAlign w:val="subscript"/>
                <w:lang w:bidi="ar"/>
              </w:rPr>
              <w:t>10</w:t>
            </w:r>
            <w:r>
              <w:rPr>
                <w:rFonts w:hint="eastAsia"/>
                <w:kern w:val="0"/>
                <w:sz w:val="24"/>
                <w:lang w:bidi="ar"/>
              </w:rPr>
              <w:t>（</w:t>
            </w:r>
            <w:r>
              <w:rPr>
                <w:bCs/>
                <w:sz w:val="24"/>
              </w:rPr>
              <w:t>ug/m</w:t>
            </w:r>
            <w:r>
              <w:rPr>
                <w:bCs/>
                <w:sz w:val="24"/>
                <w:vertAlign w:val="superscript"/>
              </w:rPr>
              <w:t>3</w:t>
            </w:r>
            <w:r>
              <w:rPr>
                <w:rFonts w:hint="eastAsia"/>
                <w:kern w:val="0"/>
                <w:sz w:val="24"/>
                <w:lang w:bidi="ar"/>
              </w:rPr>
              <w:t>）</w:t>
            </w:r>
          </w:p>
        </w:tc>
        <w:tc>
          <w:tcPr>
            <w:tcW w:w="2403" w:type="dxa"/>
            <w:vAlign w:val="center"/>
          </w:tcPr>
          <w:p>
            <w:pPr>
              <w:jc w:val="center"/>
            </w:pPr>
            <w:r>
              <w:rPr>
                <w:rFonts w:hint="eastAsia"/>
                <w:kern w:val="0"/>
                <w:sz w:val="24"/>
                <w:lang w:bidi="ar"/>
              </w:rPr>
              <w:t>97</w:t>
            </w:r>
          </w:p>
        </w:tc>
        <w:tc>
          <w:tcPr>
            <w:tcW w:w="2400" w:type="dxa"/>
            <w:vAlign w:val="center"/>
          </w:tcPr>
          <w:p>
            <w:pPr>
              <w:jc w:val="center"/>
            </w:pPr>
            <w:r>
              <w:rPr>
                <w:rFonts w:hint="eastAsia"/>
                <w:kern w:val="0"/>
                <w:sz w:val="24"/>
                <w:lang w:bidi="ar"/>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22" w:type="dxa"/>
            <w:vMerge w:val="restart"/>
            <w:vAlign w:val="center"/>
          </w:tcPr>
          <w:p>
            <w:pPr>
              <w:widowControl/>
              <w:jc w:val="center"/>
              <w:rPr>
                <w:kern w:val="0"/>
                <w:sz w:val="24"/>
                <w:lang w:bidi="ar"/>
              </w:rPr>
            </w:pPr>
            <w:r>
              <w:rPr>
                <w:rFonts w:hint="eastAsia"/>
                <w:kern w:val="0"/>
                <w:sz w:val="24"/>
                <w:lang w:bidi="ar"/>
              </w:rPr>
              <w:t>泗县</w:t>
            </w:r>
          </w:p>
        </w:tc>
        <w:tc>
          <w:tcPr>
            <w:tcW w:w="2403" w:type="dxa"/>
            <w:vAlign w:val="center"/>
          </w:tcPr>
          <w:p>
            <w:pPr>
              <w:widowControl/>
              <w:jc w:val="center"/>
              <w:rPr>
                <w:kern w:val="0"/>
                <w:sz w:val="24"/>
                <w:lang w:bidi="ar"/>
              </w:rPr>
            </w:pPr>
            <w:r>
              <w:rPr>
                <w:rFonts w:hint="eastAsia"/>
                <w:kern w:val="0"/>
                <w:sz w:val="24"/>
                <w:lang w:bidi="ar"/>
              </w:rPr>
              <w:t>PM</w:t>
            </w:r>
            <w:r>
              <w:rPr>
                <w:rFonts w:hint="eastAsia"/>
                <w:kern w:val="0"/>
                <w:sz w:val="24"/>
                <w:vertAlign w:val="subscript"/>
                <w:lang w:bidi="ar"/>
              </w:rPr>
              <w:t>2.5</w:t>
            </w:r>
            <w:r>
              <w:rPr>
                <w:rFonts w:hint="eastAsia"/>
                <w:kern w:val="0"/>
                <w:sz w:val="24"/>
                <w:lang w:bidi="ar"/>
              </w:rPr>
              <w:t>（</w:t>
            </w:r>
            <w:r>
              <w:rPr>
                <w:bCs/>
                <w:sz w:val="24"/>
              </w:rPr>
              <w:t>ug/m</w:t>
            </w:r>
            <w:r>
              <w:rPr>
                <w:bCs/>
                <w:sz w:val="24"/>
                <w:vertAlign w:val="superscript"/>
              </w:rPr>
              <w:t>3</w:t>
            </w:r>
            <w:r>
              <w:rPr>
                <w:rFonts w:hint="eastAsia"/>
                <w:kern w:val="0"/>
                <w:sz w:val="24"/>
                <w:lang w:bidi="ar"/>
              </w:rPr>
              <w:t>）</w:t>
            </w:r>
          </w:p>
        </w:tc>
        <w:tc>
          <w:tcPr>
            <w:tcW w:w="2403" w:type="dxa"/>
            <w:vAlign w:val="center"/>
          </w:tcPr>
          <w:p>
            <w:pPr>
              <w:widowControl/>
              <w:jc w:val="center"/>
              <w:rPr>
                <w:kern w:val="0"/>
                <w:sz w:val="24"/>
                <w:lang w:bidi="ar"/>
              </w:rPr>
            </w:pPr>
            <w:r>
              <w:rPr>
                <w:rFonts w:hint="eastAsia"/>
                <w:kern w:val="0"/>
                <w:sz w:val="24"/>
                <w:lang w:bidi="ar"/>
              </w:rPr>
              <w:t>51</w:t>
            </w:r>
          </w:p>
        </w:tc>
        <w:tc>
          <w:tcPr>
            <w:tcW w:w="2400" w:type="dxa"/>
            <w:vAlign w:val="center"/>
          </w:tcPr>
          <w:p>
            <w:pPr>
              <w:widowControl/>
              <w:jc w:val="center"/>
              <w:rPr>
                <w:kern w:val="0"/>
                <w:sz w:val="24"/>
                <w:lang w:bidi="ar"/>
              </w:rPr>
            </w:pPr>
            <w:r>
              <w:rPr>
                <w:kern w:val="0"/>
                <w:sz w:val="24"/>
                <w:lang w:bidi="ar"/>
              </w:rPr>
              <w:t>4</w:t>
            </w:r>
            <w:r>
              <w:rPr>
                <w:rFonts w:hint="eastAsia"/>
                <w:kern w:val="0"/>
                <w:sz w:val="24"/>
                <w:lang w:bidi="ar"/>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22" w:type="dxa"/>
            <w:vMerge w:val="continue"/>
            <w:vAlign w:val="center"/>
          </w:tcPr>
          <w:p>
            <w:pPr>
              <w:widowControl/>
              <w:jc w:val="center"/>
              <w:rPr>
                <w:kern w:val="0"/>
                <w:sz w:val="24"/>
                <w:lang w:bidi="ar"/>
              </w:rPr>
            </w:pPr>
          </w:p>
        </w:tc>
        <w:tc>
          <w:tcPr>
            <w:tcW w:w="2403" w:type="dxa"/>
            <w:vAlign w:val="center"/>
          </w:tcPr>
          <w:p>
            <w:pPr>
              <w:widowControl/>
              <w:jc w:val="center"/>
              <w:rPr>
                <w:kern w:val="0"/>
                <w:sz w:val="24"/>
                <w:lang w:bidi="ar"/>
              </w:rPr>
            </w:pPr>
            <w:r>
              <w:rPr>
                <w:rFonts w:hint="eastAsia"/>
                <w:kern w:val="0"/>
                <w:sz w:val="24"/>
                <w:lang w:bidi="ar"/>
              </w:rPr>
              <w:t>SO</w:t>
            </w:r>
            <w:r>
              <w:rPr>
                <w:rFonts w:hint="eastAsia"/>
                <w:kern w:val="0"/>
                <w:sz w:val="24"/>
                <w:vertAlign w:val="subscript"/>
                <w:lang w:bidi="ar"/>
              </w:rPr>
              <w:t>2</w:t>
            </w:r>
            <w:r>
              <w:rPr>
                <w:rFonts w:hint="eastAsia"/>
                <w:kern w:val="0"/>
                <w:sz w:val="24"/>
                <w:lang w:bidi="ar"/>
              </w:rPr>
              <w:t>（</w:t>
            </w:r>
            <w:r>
              <w:rPr>
                <w:bCs/>
                <w:sz w:val="24"/>
              </w:rPr>
              <w:t>ug/m</w:t>
            </w:r>
            <w:r>
              <w:rPr>
                <w:bCs/>
                <w:sz w:val="24"/>
                <w:vertAlign w:val="superscript"/>
              </w:rPr>
              <w:t>3</w:t>
            </w:r>
            <w:r>
              <w:rPr>
                <w:rFonts w:hint="eastAsia"/>
                <w:kern w:val="0"/>
                <w:sz w:val="24"/>
                <w:lang w:bidi="ar"/>
              </w:rPr>
              <w:t>）</w:t>
            </w:r>
          </w:p>
        </w:tc>
        <w:tc>
          <w:tcPr>
            <w:tcW w:w="2403" w:type="dxa"/>
            <w:vAlign w:val="center"/>
          </w:tcPr>
          <w:p>
            <w:pPr>
              <w:widowControl/>
              <w:jc w:val="center"/>
              <w:rPr>
                <w:kern w:val="0"/>
                <w:sz w:val="24"/>
                <w:lang w:bidi="ar"/>
              </w:rPr>
            </w:pPr>
            <w:r>
              <w:rPr>
                <w:rFonts w:hint="eastAsia"/>
                <w:kern w:val="0"/>
                <w:sz w:val="24"/>
                <w:lang w:bidi="ar"/>
              </w:rPr>
              <w:t>13</w:t>
            </w:r>
          </w:p>
        </w:tc>
        <w:tc>
          <w:tcPr>
            <w:tcW w:w="2400" w:type="dxa"/>
            <w:vAlign w:val="center"/>
          </w:tcPr>
          <w:p>
            <w:pPr>
              <w:widowControl/>
              <w:jc w:val="center"/>
              <w:rPr>
                <w:kern w:val="0"/>
                <w:sz w:val="24"/>
                <w:lang w:bidi="ar"/>
              </w:rPr>
            </w:pPr>
            <w:r>
              <w:rPr>
                <w:rFonts w:hint="eastAsia"/>
                <w:kern w:val="0"/>
                <w:sz w:val="24"/>
                <w:lang w:bidi="ar"/>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22" w:type="dxa"/>
            <w:vMerge w:val="continue"/>
            <w:vAlign w:val="center"/>
          </w:tcPr>
          <w:p>
            <w:pPr>
              <w:widowControl/>
              <w:jc w:val="center"/>
              <w:rPr>
                <w:kern w:val="0"/>
                <w:sz w:val="24"/>
                <w:lang w:bidi="ar"/>
              </w:rPr>
            </w:pPr>
          </w:p>
        </w:tc>
        <w:tc>
          <w:tcPr>
            <w:tcW w:w="2403" w:type="dxa"/>
            <w:vAlign w:val="center"/>
          </w:tcPr>
          <w:p>
            <w:pPr>
              <w:widowControl/>
              <w:jc w:val="center"/>
              <w:rPr>
                <w:kern w:val="0"/>
                <w:sz w:val="24"/>
                <w:lang w:bidi="ar"/>
              </w:rPr>
            </w:pPr>
            <w:r>
              <w:rPr>
                <w:rFonts w:hint="eastAsia"/>
                <w:kern w:val="0"/>
                <w:sz w:val="24"/>
                <w:lang w:bidi="ar"/>
              </w:rPr>
              <w:t>NO</w:t>
            </w:r>
            <w:r>
              <w:rPr>
                <w:rFonts w:hint="eastAsia"/>
                <w:kern w:val="0"/>
                <w:sz w:val="24"/>
                <w:vertAlign w:val="subscript"/>
                <w:lang w:bidi="ar"/>
              </w:rPr>
              <w:t>2</w:t>
            </w:r>
            <w:r>
              <w:rPr>
                <w:rFonts w:hint="eastAsia"/>
                <w:kern w:val="0"/>
                <w:sz w:val="24"/>
                <w:lang w:bidi="ar"/>
              </w:rPr>
              <w:t>（</w:t>
            </w:r>
            <w:r>
              <w:rPr>
                <w:bCs/>
                <w:sz w:val="24"/>
              </w:rPr>
              <w:t>ug/m</w:t>
            </w:r>
            <w:r>
              <w:rPr>
                <w:bCs/>
                <w:sz w:val="24"/>
                <w:vertAlign w:val="superscript"/>
              </w:rPr>
              <w:t>3</w:t>
            </w:r>
            <w:r>
              <w:rPr>
                <w:rFonts w:hint="eastAsia"/>
                <w:kern w:val="0"/>
                <w:sz w:val="24"/>
                <w:lang w:bidi="ar"/>
              </w:rPr>
              <w:t>）</w:t>
            </w:r>
          </w:p>
        </w:tc>
        <w:tc>
          <w:tcPr>
            <w:tcW w:w="2403" w:type="dxa"/>
            <w:vAlign w:val="center"/>
          </w:tcPr>
          <w:p>
            <w:pPr>
              <w:widowControl/>
              <w:jc w:val="center"/>
              <w:rPr>
                <w:kern w:val="0"/>
                <w:sz w:val="24"/>
                <w:lang w:bidi="ar"/>
              </w:rPr>
            </w:pPr>
            <w:r>
              <w:rPr>
                <w:rFonts w:hint="eastAsia"/>
                <w:kern w:val="0"/>
                <w:sz w:val="24"/>
                <w:lang w:bidi="ar"/>
              </w:rPr>
              <w:t>15</w:t>
            </w:r>
          </w:p>
        </w:tc>
        <w:tc>
          <w:tcPr>
            <w:tcW w:w="2400" w:type="dxa"/>
            <w:vAlign w:val="center"/>
          </w:tcPr>
          <w:p>
            <w:pPr>
              <w:widowControl/>
              <w:jc w:val="center"/>
              <w:rPr>
                <w:kern w:val="0"/>
                <w:sz w:val="24"/>
                <w:lang w:bidi="ar"/>
              </w:rPr>
            </w:pPr>
            <w:r>
              <w:rPr>
                <w:rFonts w:hint="eastAsia"/>
                <w:kern w:val="0"/>
                <w:sz w:val="24"/>
                <w:lang w:bidi="ar"/>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22" w:type="dxa"/>
            <w:vMerge w:val="continue"/>
            <w:vAlign w:val="center"/>
          </w:tcPr>
          <w:p>
            <w:pPr>
              <w:widowControl/>
              <w:jc w:val="center"/>
              <w:rPr>
                <w:kern w:val="0"/>
                <w:sz w:val="24"/>
                <w:lang w:bidi="ar"/>
              </w:rPr>
            </w:pPr>
          </w:p>
        </w:tc>
        <w:tc>
          <w:tcPr>
            <w:tcW w:w="2403" w:type="dxa"/>
            <w:vAlign w:val="center"/>
          </w:tcPr>
          <w:p>
            <w:pPr>
              <w:widowControl/>
              <w:jc w:val="center"/>
              <w:rPr>
                <w:kern w:val="0"/>
                <w:sz w:val="24"/>
                <w:lang w:bidi="ar"/>
              </w:rPr>
            </w:pPr>
            <w:r>
              <w:rPr>
                <w:rFonts w:hint="eastAsia"/>
                <w:kern w:val="0"/>
                <w:sz w:val="24"/>
                <w:lang w:bidi="ar"/>
              </w:rPr>
              <w:t>CO（</w:t>
            </w:r>
            <w:r>
              <w:rPr>
                <w:rFonts w:hint="eastAsia"/>
                <w:bCs/>
                <w:sz w:val="24"/>
              </w:rPr>
              <w:t>m</w:t>
            </w:r>
            <w:r>
              <w:rPr>
                <w:bCs/>
                <w:sz w:val="24"/>
              </w:rPr>
              <w:t>g/m</w:t>
            </w:r>
            <w:r>
              <w:rPr>
                <w:bCs/>
                <w:sz w:val="24"/>
                <w:vertAlign w:val="superscript"/>
              </w:rPr>
              <w:t>3</w:t>
            </w:r>
            <w:r>
              <w:rPr>
                <w:rFonts w:hint="eastAsia"/>
                <w:kern w:val="0"/>
                <w:sz w:val="24"/>
                <w:lang w:bidi="ar"/>
              </w:rPr>
              <w:t>）</w:t>
            </w:r>
          </w:p>
        </w:tc>
        <w:tc>
          <w:tcPr>
            <w:tcW w:w="2403" w:type="dxa"/>
            <w:vAlign w:val="center"/>
          </w:tcPr>
          <w:p>
            <w:pPr>
              <w:widowControl/>
              <w:jc w:val="center"/>
              <w:rPr>
                <w:kern w:val="0"/>
                <w:sz w:val="24"/>
                <w:lang w:bidi="ar"/>
              </w:rPr>
            </w:pPr>
            <w:r>
              <w:rPr>
                <w:rFonts w:hint="eastAsia"/>
                <w:kern w:val="0"/>
                <w:sz w:val="24"/>
                <w:lang w:bidi="ar"/>
              </w:rPr>
              <w:t>1.3</w:t>
            </w:r>
          </w:p>
        </w:tc>
        <w:tc>
          <w:tcPr>
            <w:tcW w:w="2400" w:type="dxa"/>
            <w:vAlign w:val="center"/>
          </w:tcPr>
          <w:p>
            <w:pPr>
              <w:widowControl/>
              <w:jc w:val="center"/>
              <w:rPr>
                <w:kern w:val="0"/>
                <w:sz w:val="24"/>
                <w:lang w:bidi="ar"/>
              </w:rPr>
            </w:pPr>
            <w:r>
              <w:rPr>
                <w:rFonts w:hint="eastAsia"/>
                <w:kern w:val="0"/>
                <w:sz w:val="24"/>
                <w:lang w:bidi="ar"/>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22" w:type="dxa"/>
            <w:vMerge w:val="continue"/>
            <w:vAlign w:val="center"/>
          </w:tcPr>
          <w:p>
            <w:pPr>
              <w:widowControl/>
              <w:jc w:val="center"/>
              <w:rPr>
                <w:kern w:val="0"/>
                <w:sz w:val="24"/>
                <w:lang w:bidi="ar"/>
              </w:rPr>
            </w:pPr>
          </w:p>
        </w:tc>
        <w:tc>
          <w:tcPr>
            <w:tcW w:w="2403" w:type="dxa"/>
            <w:vAlign w:val="center"/>
          </w:tcPr>
          <w:p>
            <w:pPr>
              <w:widowControl/>
              <w:jc w:val="center"/>
              <w:rPr>
                <w:kern w:val="0"/>
                <w:sz w:val="24"/>
                <w:lang w:bidi="ar"/>
              </w:rPr>
            </w:pPr>
            <w:r>
              <w:rPr>
                <w:rFonts w:hint="eastAsia"/>
                <w:kern w:val="0"/>
                <w:sz w:val="24"/>
                <w:lang w:bidi="ar"/>
              </w:rPr>
              <w:t>O</w:t>
            </w:r>
            <w:r>
              <w:rPr>
                <w:rFonts w:hint="eastAsia"/>
                <w:kern w:val="0"/>
                <w:sz w:val="24"/>
                <w:vertAlign w:val="subscript"/>
                <w:lang w:bidi="ar"/>
              </w:rPr>
              <w:t>3</w:t>
            </w:r>
            <w:r>
              <w:rPr>
                <w:rFonts w:hint="eastAsia"/>
                <w:kern w:val="0"/>
                <w:sz w:val="24"/>
                <w:lang w:bidi="ar"/>
              </w:rPr>
              <w:t>（</w:t>
            </w:r>
            <w:r>
              <w:rPr>
                <w:bCs/>
                <w:sz w:val="24"/>
              </w:rPr>
              <w:t>ug/m</w:t>
            </w:r>
            <w:r>
              <w:rPr>
                <w:bCs/>
                <w:sz w:val="24"/>
                <w:vertAlign w:val="superscript"/>
              </w:rPr>
              <w:t>3</w:t>
            </w:r>
            <w:r>
              <w:rPr>
                <w:rFonts w:hint="eastAsia"/>
                <w:kern w:val="0"/>
                <w:sz w:val="24"/>
                <w:lang w:bidi="ar"/>
              </w:rPr>
              <w:t>）</w:t>
            </w:r>
          </w:p>
        </w:tc>
        <w:tc>
          <w:tcPr>
            <w:tcW w:w="2403" w:type="dxa"/>
            <w:vAlign w:val="center"/>
          </w:tcPr>
          <w:p>
            <w:pPr>
              <w:jc w:val="center"/>
            </w:pPr>
            <w:r>
              <w:rPr>
                <w:rFonts w:hint="eastAsia"/>
                <w:kern w:val="0"/>
                <w:sz w:val="24"/>
                <w:lang w:bidi="ar"/>
              </w:rPr>
              <w:t>190</w:t>
            </w:r>
          </w:p>
        </w:tc>
        <w:tc>
          <w:tcPr>
            <w:tcW w:w="2400" w:type="dxa"/>
            <w:vAlign w:val="center"/>
          </w:tcPr>
          <w:p>
            <w:pPr>
              <w:jc w:val="center"/>
            </w:pPr>
            <w:r>
              <w:rPr>
                <w:rFonts w:hint="eastAsia"/>
                <w:kern w:val="0"/>
                <w:sz w:val="24"/>
                <w:lang w:bidi="ar"/>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22" w:type="dxa"/>
            <w:vMerge w:val="continue"/>
            <w:vAlign w:val="center"/>
          </w:tcPr>
          <w:p>
            <w:pPr>
              <w:widowControl/>
              <w:jc w:val="center"/>
              <w:rPr>
                <w:kern w:val="0"/>
                <w:sz w:val="24"/>
                <w:lang w:bidi="ar"/>
              </w:rPr>
            </w:pPr>
          </w:p>
        </w:tc>
        <w:tc>
          <w:tcPr>
            <w:tcW w:w="2403" w:type="dxa"/>
            <w:vAlign w:val="center"/>
          </w:tcPr>
          <w:p>
            <w:pPr>
              <w:widowControl/>
              <w:jc w:val="center"/>
              <w:rPr>
                <w:kern w:val="0"/>
                <w:sz w:val="24"/>
                <w:lang w:bidi="ar"/>
              </w:rPr>
            </w:pPr>
            <w:r>
              <w:rPr>
                <w:rFonts w:hint="eastAsia"/>
                <w:kern w:val="0"/>
                <w:sz w:val="24"/>
                <w:lang w:bidi="ar"/>
              </w:rPr>
              <w:t>PM</w:t>
            </w:r>
            <w:r>
              <w:rPr>
                <w:rFonts w:hint="eastAsia"/>
                <w:kern w:val="0"/>
                <w:sz w:val="24"/>
                <w:vertAlign w:val="subscript"/>
                <w:lang w:bidi="ar"/>
              </w:rPr>
              <w:t>10</w:t>
            </w:r>
            <w:r>
              <w:rPr>
                <w:rFonts w:hint="eastAsia"/>
                <w:kern w:val="0"/>
                <w:sz w:val="24"/>
                <w:lang w:bidi="ar"/>
              </w:rPr>
              <w:t>（</w:t>
            </w:r>
            <w:r>
              <w:rPr>
                <w:bCs/>
                <w:sz w:val="24"/>
              </w:rPr>
              <w:t>ug/m</w:t>
            </w:r>
            <w:r>
              <w:rPr>
                <w:bCs/>
                <w:sz w:val="24"/>
                <w:vertAlign w:val="superscript"/>
              </w:rPr>
              <w:t>3</w:t>
            </w:r>
            <w:r>
              <w:rPr>
                <w:rFonts w:hint="eastAsia"/>
                <w:kern w:val="0"/>
                <w:sz w:val="24"/>
                <w:lang w:bidi="ar"/>
              </w:rPr>
              <w:t>）</w:t>
            </w:r>
          </w:p>
        </w:tc>
        <w:tc>
          <w:tcPr>
            <w:tcW w:w="2403" w:type="dxa"/>
            <w:vAlign w:val="center"/>
          </w:tcPr>
          <w:p>
            <w:pPr>
              <w:jc w:val="center"/>
            </w:pPr>
            <w:r>
              <w:rPr>
                <w:rFonts w:hint="eastAsia"/>
                <w:kern w:val="0"/>
                <w:sz w:val="24"/>
                <w:lang w:bidi="ar"/>
              </w:rPr>
              <w:t>80</w:t>
            </w:r>
          </w:p>
        </w:tc>
        <w:tc>
          <w:tcPr>
            <w:tcW w:w="2400" w:type="dxa"/>
            <w:vAlign w:val="center"/>
          </w:tcPr>
          <w:p>
            <w:pPr>
              <w:jc w:val="center"/>
            </w:pPr>
            <w:r>
              <w:rPr>
                <w:rFonts w:hint="eastAsia"/>
                <w:kern w:val="0"/>
                <w:sz w:val="24"/>
                <w:lang w:bidi="ar"/>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22" w:type="dxa"/>
            <w:vMerge w:val="restart"/>
            <w:vAlign w:val="center"/>
          </w:tcPr>
          <w:p>
            <w:pPr>
              <w:widowControl/>
              <w:jc w:val="center"/>
              <w:rPr>
                <w:kern w:val="0"/>
                <w:sz w:val="24"/>
                <w:lang w:bidi="ar"/>
              </w:rPr>
            </w:pPr>
            <w:r>
              <w:rPr>
                <w:rFonts w:hint="eastAsia"/>
                <w:kern w:val="0"/>
                <w:sz w:val="24"/>
                <w:lang w:bidi="ar"/>
              </w:rPr>
              <w:t>埇桥区</w:t>
            </w:r>
          </w:p>
        </w:tc>
        <w:tc>
          <w:tcPr>
            <w:tcW w:w="2403" w:type="dxa"/>
            <w:vAlign w:val="center"/>
          </w:tcPr>
          <w:p>
            <w:pPr>
              <w:widowControl/>
              <w:jc w:val="center"/>
              <w:rPr>
                <w:kern w:val="0"/>
                <w:sz w:val="24"/>
                <w:lang w:bidi="ar"/>
              </w:rPr>
            </w:pPr>
            <w:r>
              <w:rPr>
                <w:rFonts w:hint="eastAsia"/>
                <w:kern w:val="0"/>
                <w:sz w:val="24"/>
                <w:lang w:bidi="ar"/>
              </w:rPr>
              <w:t>PM</w:t>
            </w:r>
            <w:r>
              <w:rPr>
                <w:rFonts w:hint="eastAsia"/>
                <w:kern w:val="0"/>
                <w:sz w:val="24"/>
                <w:vertAlign w:val="subscript"/>
                <w:lang w:bidi="ar"/>
              </w:rPr>
              <w:t>2.5</w:t>
            </w:r>
            <w:r>
              <w:rPr>
                <w:rFonts w:hint="eastAsia"/>
                <w:kern w:val="0"/>
                <w:sz w:val="24"/>
                <w:lang w:bidi="ar"/>
              </w:rPr>
              <w:t>（</w:t>
            </w:r>
            <w:r>
              <w:rPr>
                <w:bCs/>
                <w:sz w:val="24"/>
              </w:rPr>
              <w:t>ug/m</w:t>
            </w:r>
            <w:r>
              <w:rPr>
                <w:bCs/>
                <w:sz w:val="24"/>
                <w:vertAlign w:val="superscript"/>
              </w:rPr>
              <w:t>3</w:t>
            </w:r>
            <w:r>
              <w:rPr>
                <w:rFonts w:hint="eastAsia"/>
                <w:kern w:val="0"/>
                <w:sz w:val="24"/>
                <w:lang w:bidi="ar"/>
              </w:rPr>
              <w:t>）</w:t>
            </w:r>
          </w:p>
        </w:tc>
        <w:tc>
          <w:tcPr>
            <w:tcW w:w="2403" w:type="dxa"/>
            <w:vAlign w:val="center"/>
          </w:tcPr>
          <w:p>
            <w:pPr>
              <w:widowControl/>
              <w:jc w:val="center"/>
              <w:rPr>
                <w:kern w:val="0"/>
                <w:sz w:val="24"/>
                <w:lang w:bidi="ar"/>
              </w:rPr>
            </w:pPr>
            <w:r>
              <w:rPr>
                <w:rFonts w:hint="eastAsia"/>
                <w:kern w:val="0"/>
                <w:sz w:val="24"/>
                <w:lang w:bidi="ar"/>
              </w:rPr>
              <w:t>51</w:t>
            </w:r>
          </w:p>
        </w:tc>
        <w:tc>
          <w:tcPr>
            <w:tcW w:w="2400" w:type="dxa"/>
            <w:vAlign w:val="center"/>
          </w:tcPr>
          <w:p>
            <w:pPr>
              <w:widowControl/>
              <w:jc w:val="center"/>
              <w:rPr>
                <w:kern w:val="0"/>
                <w:sz w:val="24"/>
                <w:lang w:bidi="ar"/>
              </w:rPr>
            </w:pPr>
            <w:r>
              <w:rPr>
                <w:kern w:val="0"/>
                <w:sz w:val="24"/>
                <w:lang w:bidi="ar"/>
              </w:rPr>
              <w:t>4</w:t>
            </w:r>
            <w:r>
              <w:rPr>
                <w:rFonts w:hint="eastAsia"/>
                <w:kern w:val="0"/>
                <w:sz w:val="24"/>
                <w:lang w:bidi="ar"/>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22" w:type="dxa"/>
            <w:vMerge w:val="continue"/>
            <w:vAlign w:val="center"/>
          </w:tcPr>
          <w:p>
            <w:pPr>
              <w:widowControl/>
              <w:jc w:val="center"/>
              <w:rPr>
                <w:kern w:val="0"/>
                <w:sz w:val="24"/>
                <w:lang w:bidi="ar"/>
              </w:rPr>
            </w:pPr>
          </w:p>
        </w:tc>
        <w:tc>
          <w:tcPr>
            <w:tcW w:w="2403" w:type="dxa"/>
            <w:vAlign w:val="center"/>
          </w:tcPr>
          <w:p>
            <w:pPr>
              <w:widowControl/>
              <w:jc w:val="center"/>
              <w:rPr>
                <w:kern w:val="0"/>
                <w:sz w:val="24"/>
                <w:lang w:bidi="ar"/>
              </w:rPr>
            </w:pPr>
            <w:r>
              <w:rPr>
                <w:rFonts w:hint="eastAsia"/>
                <w:kern w:val="0"/>
                <w:sz w:val="24"/>
                <w:lang w:bidi="ar"/>
              </w:rPr>
              <w:t>SO</w:t>
            </w:r>
            <w:r>
              <w:rPr>
                <w:rFonts w:hint="eastAsia"/>
                <w:kern w:val="0"/>
                <w:sz w:val="24"/>
                <w:vertAlign w:val="subscript"/>
                <w:lang w:bidi="ar"/>
              </w:rPr>
              <w:t>2</w:t>
            </w:r>
            <w:r>
              <w:rPr>
                <w:rFonts w:hint="eastAsia"/>
                <w:kern w:val="0"/>
                <w:sz w:val="24"/>
                <w:lang w:bidi="ar"/>
              </w:rPr>
              <w:t>（</w:t>
            </w:r>
            <w:r>
              <w:rPr>
                <w:bCs/>
                <w:sz w:val="24"/>
              </w:rPr>
              <w:t>ug/m</w:t>
            </w:r>
            <w:r>
              <w:rPr>
                <w:bCs/>
                <w:sz w:val="24"/>
                <w:vertAlign w:val="superscript"/>
              </w:rPr>
              <w:t>3</w:t>
            </w:r>
            <w:r>
              <w:rPr>
                <w:rFonts w:hint="eastAsia"/>
                <w:kern w:val="0"/>
                <w:sz w:val="24"/>
                <w:lang w:bidi="ar"/>
              </w:rPr>
              <w:t>）</w:t>
            </w:r>
          </w:p>
        </w:tc>
        <w:tc>
          <w:tcPr>
            <w:tcW w:w="2403" w:type="dxa"/>
            <w:vAlign w:val="center"/>
          </w:tcPr>
          <w:p>
            <w:pPr>
              <w:widowControl/>
              <w:jc w:val="center"/>
              <w:rPr>
                <w:kern w:val="0"/>
                <w:sz w:val="24"/>
                <w:lang w:bidi="ar"/>
              </w:rPr>
            </w:pPr>
            <w:r>
              <w:rPr>
                <w:rFonts w:hint="eastAsia"/>
                <w:kern w:val="0"/>
                <w:sz w:val="24"/>
                <w:lang w:bidi="ar"/>
              </w:rPr>
              <w:t>9</w:t>
            </w:r>
          </w:p>
        </w:tc>
        <w:tc>
          <w:tcPr>
            <w:tcW w:w="2400" w:type="dxa"/>
            <w:vAlign w:val="center"/>
          </w:tcPr>
          <w:p>
            <w:pPr>
              <w:widowControl/>
              <w:jc w:val="center"/>
              <w:rPr>
                <w:kern w:val="0"/>
                <w:sz w:val="24"/>
                <w:lang w:bidi="ar"/>
              </w:rPr>
            </w:pPr>
            <w:r>
              <w:rPr>
                <w:rFonts w:hint="eastAsia"/>
                <w:kern w:val="0"/>
                <w:sz w:val="24"/>
                <w:lang w:bidi="ar"/>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22" w:type="dxa"/>
            <w:vMerge w:val="continue"/>
            <w:vAlign w:val="center"/>
          </w:tcPr>
          <w:p>
            <w:pPr>
              <w:widowControl/>
              <w:jc w:val="center"/>
              <w:rPr>
                <w:kern w:val="0"/>
                <w:sz w:val="24"/>
                <w:lang w:bidi="ar"/>
              </w:rPr>
            </w:pPr>
          </w:p>
        </w:tc>
        <w:tc>
          <w:tcPr>
            <w:tcW w:w="2403" w:type="dxa"/>
            <w:vAlign w:val="center"/>
          </w:tcPr>
          <w:p>
            <w:pPr>
              <w:widowControl/>
              <w:jc w:val="center"/>
              <w:rPr>
                <w:kern w:val="0"/>
                <w:sz w:val="24"/>
                <w:lang w:bidi="ar"/>
              </w:rPr>
            </w:pPr>
            <w:r>
              <w:rPr>
                <w:rFonts w:hint="eastAsia"/>
                <w:kern w:val="0"/>
                <w:sz w:val="24"/>
                <w:lang w:bidi="ar"/>
              </w:rPr>
              <w:t>NO</w:t>
            </w:r>
            <w:r>
              <w:rPr>
                <w:rFonts w:hint="eastAsia"/>
                <w:kern w:val="0"/>
                <w:sz w:val="24"/>
                <w:vertAlign w:val="subscript"/>
                <w:lang w:bidi="ar"/>
              </w:rPr>
              <w:t>2</w:t>
            </w:r>
            <w:r>
              <w:rPr>
                <w:rFonts w:hint="eastAsia"/>
                <w:kern w:val="0"/>
                <w:sz w:val="24"/>
                <w:lang w:bidi="ar"/>
              </w:rPr>
              <w:t>（</w:t>
            </w:r>
            <w:r>
              <w:rPr>
                <w:bCs/>
                <w:sz w:val="24"/>
              </w:rPr>
              <w:t>ug/m</w:t>
            </w:r>
            <w:r>
              <w:rPr>
                <w:bCs/>
                <w:sz w:val="24"/>
                <w:vertAlign w:val="superscript"/>
              </w:rPr>
              <w:t>3</w:t>
            </w:r>
            <w:r>
              <w:rPr>
                <w:rFonts w:hint="eastAsia"/>
                <w:kern w:val="0"/>
                <w:sz w:val="24"/>
                <w:lang w:bidi="ar"/>
              </w:rPr>
              <w:t>）</w:t>
            </w:r>
          </w:p>
        </w:tc>
        <w:tc>
          <w:tcPr>
            <w:tcW w:w="2403" w:type="dxa"/>
            <w:vAlign w:val="center"/>
          </w:tcPr>
          <w:p>
            <w:pPr>
              <w:widowControl/>
              <w:jc w:val="center"/>
              <w:rPr>
                <w:kern w:val="0"/>
                <w:sz w:val="24"/>
                <w:lang w:bidi="ar"/>
              </w:rPr>
            </w:pPr>
            <w:r>
              <w:rPr>
                <w:rFonts w:hint="eastAsia"/>
                <w:kern w:val="0"/>
                <w:sz w:val="24"/>
                <w:lang w:bidi="ar"/>
              </w:rPr>
              <w:t>28</w:t>
            </w:r>
          </w:p>
        </w:tc>
        <w:tc>
          <w:tcPr>
            <w:tcW w:w="2400" w:type="dxa"/>
            <w:vAlign w:val="center"/>
          </w:tcPr>
          <w:p>
            <w:pPr>
              <w:widowControl/>
              <w:jc w:val="center"/>
              <w:rPr>
                <w:kern w:val="0"/>
                <w:sz w:val="24"/>
                <w:lang w:bidi="ar"/>
              </w:rPr>
            </w:pPr>
            <w:r>
              <w:rPr>
                <w:rFonts w:hint="eastAsia"/>
                <w:kern w:val="0"/>
                <w:sz w:val="24"/>
                <w:lang w:bidi="ar"/>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22" w:type="dxa"/>
            <w:vMerge w:val="continue"/>
            <w:vAlign w:val="center"/>
          </w:tcPr>
          <w:p>
            <w:pPr>
              <w:widowControl/>
              <w:jc w:val="center"/>
              <w:rPr>
                <w:kern w:val="0"/>
                <w:sz w:val="24"/>
                <w:lang w:bidi="ar"/>
              </w:rPr>
            </w:pPr>
          </w:p>
        </w:tc>
        <w:tc>
          <w:tcPr>
            <w:tcW w:w="2403" w:type="dxa"/>
            <w:vAlign w:val="center"/>
          </w:tcPr>
          <w:p>
            <w:pPr>
              <w:widowControl/>
              <w:jc w:val="center"/>
              <w:rPr>
                <w:kern w:val="0"/>
                <w:sz w:val="24"/>
                <w:lang w:bidi="ar"/>
              </w:rPr>
            </w:pPr>
            <w:r>
              <w:rPr>
                <w:rFonts w:hint="eastAsia"/>
                <w:kern w:val="0"/>
                <w:sz w:val="24"/>
                <w:lang w:bidi="ar"/>
              </w:rPr>
              <w:t>CO（</w:t>
            </w:r>
            <w:r>
              <w:rPr>
                <w:rFonts w:hint="eastAsia"/>
                <w:bCs/>
                <w:sz w:val="24"/>
              </w:rPr>
              <w:t>m</w:t>
            </w:r>
            <w:r>
              <w:rPr>
                <w:bCs/>
                <w:sz w:val="24"/>
              </w:rPr>
              <w:t>g/m</w:t>
            </w:r>
            <w:r>
              <w:rPr>
                <w:bCs/>
                <w:sz w:val="24"/>
                <w:vertAlign w:val="superscript"/>
              </w:rPr>
              <w:t>3</w:t>
            </w:r>
            <w:r>
              <w:rPr>
                <w:rFonts w:hint="eastAsia"/>
                <w:kern w:val="0"/>
                <w:sz w:val="24"/>
                <w:lang w:bidi="ar"/>
              </w:rPr>
              <w:t>）</w:t>
            </w:r>
          </w:p>
        </w:tc>
        <w:tc>
          <w:tcPr>
            <w:tcW w:w="2403" w:type="dxa"/>
            <w:vAlign w:val="center"/>
          </w:tcPr>
          <w:p>
            <w:pPr>
              <w:widowControl/>
              <w:jc w:val="center"/>
              <w:rPr>
                <w:kern w:val="0"/>
                <w:sz w:val="24"/>
                <w:lang w:bidi="ar"/>
              </w:rPr>
            </w:pPr>
            <w:r>
              <w:rPr>
                <w:rFonts w:hint="eastAsia"/>
                <w:kern w:val="0"/>
                <w:sz w:val="24"/>
                <w:lang w:bidi="ar"/>
              </w:rPr>
              <w:t>1</w:t>
            </w:r>
          </w:p>
        </w:tc>
        <w:tc>
          <w:tcPr>
            <w:tcW w:w="2400" w:type="dxa"/>
            <w:vAlign w:val="center"/>
          </w:tcPr>
          <w:p>
            <w:pPr>
              <w:widowControl/>
              <w:jc w:val="center"/>
              <w:rPr>
                <w:kern w:val="0"/>
                <w:sz w:val="24"/>
                <w:lang w:bidi="ar"/>
              </w:rPr>
            </w:pPr>
            <w:r>
              <w:rPr>
                <w:rFonts w:hint="eastAsia"/>
                <w:kern w:val="0"/>
                <w:sz w:val="24"/>
                <w:lang w:bidi="ar"/>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22" w:type="dxa"/>
            <w:vMerge w:val="continue"/>
            <w:vAlign w:val="center"/>
          </w:tcPr>
          <w:p>
            <w:pPr>
              <w:widowControl/>
              <w:jc w:val="center"/>
              <w:rPr>
                <w:kern w:val="0"/>
                <w:sz w:val="24"/>
                <w:lang w:bidi="ar"/>
              </w:rPr>
            </w:pPr>
          </w:p>
        </w:tc>
        <w:tc>
          <w:tcPr>
            <w:tcW w:w="2403" w:type="dxa"/>
            <w:vAlign w:val="center"/>
          </w:tcPr>
          <w:p>
            <w:pPr>
              <w:widowControl/>
              <w:jc w:val="center"/>
              <w:rPr>
                <w:kern w:val="0"/>
                <w:sz w:val="24"/>
                <w:lang w:bidi="ar"/>
              </w:rPr>
            </w:pPr>
            <w:r>
              <w:rPr>
                <w:rFonts w:hint="eastAsia"/>
                <w:kern w:val="0"/>
                <w:sz w:val="24"/>
                <w:lang w:bidi="ar"/>
              </w:rPr>
              <w:t>O</w:t>
            </w:r>
            <w:r>
              <w:rPr>
                <w:rFonts w:hint="eastAsia"/>
                <w:kern w:val="0"/>
                <w:sz w:val="24"/>
                <w:vertAlign w:val="subscript"/>
                <w:lang w:bidi="ar"/>
              </w:rPr>
              <w:t>3</w:t>
            </w:r>
            <w:r>
              <w:rPr>
                <w:rFonts w:hint="eastAsia"/>
                <w:kern w:val="0"/>
                <w:sz w:val="24"/>
                <w:lang w:bidi="ar"/>
              </w:rPr>
              <w:t>（</w:t>
            </w:r>
            <w:r>
              <w:rPr>
                <w:bCs/>
                <w:sz w:val="24"/>
              </w:rPr>
              <w:t>ug/m</w:t>
            </w:r>
            <w:r>
              <w:rPr>
                <w:bCs/>
                <w:sz w:val="24"/>
                <w:vertAlign w:val="superscript"/>
              </w:rPr>
              <w:t>3</w:t>
            </w:r>
            <w:r>
              <w:rPr>
                <w:rFonts w:hint="eastAsia"/>
                <w:kern w:val="0"/>
                <w:sz w:val="24"/>
                <w:lang w:bidi="ar"/>
              </w:rPr>
              <w:t>）</w:t>
            </w:r>
          </w:p>
        </w:tc>
        <w:tc>
          <w:tcPr>
            <w:tcW w:w="2403" w:type="dxa"/>
            <w:vAlign w:val="center"/>
          </w:tcPr>
          <w:p>
            <w:pPr>
              <w:jc w:val="center"/>
            </w:pPr>
            <w:r>
              <w:rPr>
                <w:rFonts w:hint="eastAsia"/>
                <w:kern w:val="0"/>
                <w:sz w:val="24"/>
                <w:lang w:bidi="ar"/>
              </w:rPr>
              <w:t>179</w:t>
            </w:r>
          </w:p>
        </w:tc>
        <w:tc>
          <w:tcPr>
            <w:tcW w:w="2400" w:type="dxa"/>
            <w:vAlign w:val="center"/>
          </w:tcPr>
          <w:p>
            <w:pPr>
              <w:jc w:val="center"/>
            </w:pPr>
            <w:r>
              <w:rPr>
                <w:rFonts w:hint="eastAsia"/>
                <w:kern w:val="0"/>
                <w:sz w:val="24"/>
                <w:lang w:bidi="ar"/>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1322" w:type="dxa"/>
            <w:vMerge w:val="continue"/>
            <w:vAlign w:val="center"/>
          </w:tcPr>
          <w:p>
            <w:pPr>
              <w:widowControl/>
              <w:jc w:val="center"/>
              <w:rPr>
                <w:kern w:val="0"/>
                <w:sz w:val="24"/>
                <w:lang w:bidi="ar"/>
              </w:rPr>
            </w:pPr>
          </w:p>
        </w:tc>
        <w:tc>
          <w:tcPr>
            <w:tcW w:w="2403" w:type="dxa"/>
            <w:vAlign w:val="center"/>
          </w:tcPr>
          <w:p>
            <w:pPr>
              <w:widowControl/>
              <w:jc w:val="center"/>
              <w:rPr>
                <w:kern w:val="0"/>
                <w:sz w:val="24"/>
                <w:lang w:bidi="ar"/>
              </w:rPr>
            </w:pPr>
            <w:r>
              <w:rPr>
                <w:rFonts w:hint="eastAsia"/>
                <w:kern w:val="0"/>
                <w:sz w:val="24"/>
                <w:lang w:bidi="ar"/>
              </w:rPr>
              <w:t>PM</w:t>
            </w:r>
            <w:r>
              <w:rPr>
                <w:rFonts w:hint="eastAsia"/>
                <w:kern w:val="0"/>
                <w:sz w:val="24"/>
                <w:vertAlign w:val="subscript"/>
                <w:lang w:bidi="ar"/>
              </w:rPr>
              <w:t>10</w:t>
            </w:r>
            <w:r>
              <w:rPr>
                <w:rFonts w:hint="eastAsia"/>
                <w:kern w:val="0"/>
                <w:sz w:val="24"/>
                <w:lang w:bidi="ar"/>
              </w:rPr>
              <w:t>（</w:t>
            </w:r>
            <w:r>
              <w:rPr>
                <w:bCs/>
                <w:sz w:val="24"/>
              </w:rPr>
              <w:t>ug/m</w:t>
            </w:r>
            <w:r>
              <w:rPr>
                <w:bCs/>
                <w:sz w:val="24"/>
                <w:vertAlign w:val="superscript"/>
              </w:rPr>
              <w:t>3</w:t>
            </w:r>
            <w:r>
              <w:rPr>
                <w:rFonts w:hint="eastAsia"/>
                <w:kern w:val="0"/>
                <w:sz w:val="24"/>
                <w:lang w:bidi="ar"/>
              </w:rPr>
              <w:t>）</w:t>
            </w:r>
          </w:p>
        </w:tc>
        <w:tc>
          <w:tcPr>
            <w:tcW w:w="2403" w:type="dxa"/>
            <w:vAlign w:val="center"/>
          </w:tcPr>
          <w:p>
            <w:pPr>
              <w:jc w:val="center"/>
            </w:pPr>
            <w:r>
              <w:rPr>
                <w:rFonts w:hint="eastAsia"/>
                <w:kern w:val="0"/>
                <w:sz w:val="24"/>
                <w:lang w:bidi="ar"/>
              </w:rPr>
              <w:t>87</w:t>
            </w:r>
          </w:p>
        </w:tc>
        <w:tc>
          <w:tcPr>
            <w:tcW w:w="2400" w:type="dxa"/>
            <w:vAlign w:val="center"/>
          </w:tcPr>
          <w:p>
            <w:pPr>
              <w:jc w:val="center"/>
            </w:pPr>
            <w:r>
              <w:rPr>
                <w:rFonts w:hint="eastAsia"/>
                <w:kern w:val="0"/>
                <w:sz w:val="24"/>
                <w:lang w:bidi="ar"/>
              </w:rPr>
              <w:t>80</w:t>
            </w:r>
          </w:p>
        </w:tc>
      </w:tr>
    </w:tbl>
    <w:p>
      <w:pPr>
        <w:spacing w:line="360" w:lineRule="auto"/>
        <w:jc w:val="center"/>
        <w:rPr>
          <w:b/>
          <w:bCs/>
          <w:sz w:val="24"/>
        </w:rPr>
      </w:pPr>
    </w:p>
    <w:p>
      <w:pPr>
        <w:pStyle w:val="2"/>
        <w:spacing w:after="0" w:line="360" w:lineRule="auto"/>
        <w:ind w:left="0" w:leftChars="0" w:firstLine="562" w:firstLineChars="200"/>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（3）土壤环境质量</w:t>
      </w:r>
    </w:p>
    <w:p>
      <w:pPr>
        <w:pStyle w:val="24"/>
        <w:shd w:val="clear" w:color="auto" w:fill="FFFFFF"/>
        <w:spacing w:line="360" w:lineRule="auto"/>
        <w:ind w:firstLine="560" w:firstLineChars="200"/>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主要目标：到20</w:t>
      </w:r>
      <w:r>
        <w:rPr>
          <w:rFonts w:hint="eastAsia" w:ascii="Times New Roman" w:hAnsi="Times New Roman" w:cs="Times New Roman"/>
          <w:color w:val="000000" w:themeColor="text1"/>
          <w:sz w:val="28"/>
          <w:szCs w:val="28"/>
          <w14:textFill>
            <w14:solidFill>
              <w14:schemeClr w14:val="tx1"/>
            </w14:solidFill>
          </w14:textFill>
        </w:rPr>
        <w:t>25</w:t>
      </w:r>
      <w:r>
        <w:rPr>
          <w:rFonts w:ascii="Times New Roman" w:hAnsi="Times New Roman" w:cs="Times New Roman"/>
          <w:color w:val="000000" w:themeColor="text1"/>
          <w:sz w:val="28"/>
          <w:szCs w:val="28"/>
          <w14:textFill>
            <w14:solidFill>
              <w14:schemeClr w14:val="tx1"/>
            </w14:solidFill>
          </w14:textFill>
        </w:rPr>
        <w:t>年，</w:t>
      </w:r>
      <w:r>
        <w:rPr>
          <w:rFonts w:hint="eastAsia" w:ascii="Times New Roman" w:hAnsi="Times New Roman" w:cs="Times New Roman"/>
          <w:color w:val="000000" w:themeColor="text1"/>
          <w:sz w:val="28"/>
          <w:szCs w:val="28"/>
          <w14:textFill>
            <w14:solidFill>
              <w14:schemeClr w14:val="tx1"/>
            </w14:solidFill>
          </w14:textFill>
        </w:rPr>
        <w:t>大运河宿州段</w:t>
      </w:r>
      <w:r>
        <w:rPr>
          <w:rFonts w:ascii="Times New Roman" w:hAnsi="Times New Roman" w:cs="Times New Roman"/>
          <w:color w:val="000000" w:themeColor="text1"/>
          <w:sz w:val="28"/>
          <w:szCs w:val="28"/>
          <w14:textFill>
            <w14:solidFill>
              <w14:schemeClr w14:val="tx1"/>
            </w14:solidFill>
          </w14:textFill>
        </w:rPr>
        <w:t>土壤环境质量稳中向好，农用地和建设用地土壤环境安全得到有效保障，土壤环境风险得到全面管控。</w:t>
      </w:r>
    </w:p>
    <w:p>
      <w:pPr>
        <w:pStyle w:val="24"/>
        <w:shd w:val="clear" w:color="auto" w:fill="FFFFFF"/>
        <w:spacing w:line="360" w:lineRule="auto"/>
        <w:ind w:firstLine="560" w:firstLineChars="200"/>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主要指标：到20</w:t>
      </w:r>
      <w:r>
        <w:rPr>
          <w:rFonts w:hint="eastAsia" w:ascii="Times New Roman" w:hAnsi="Times New Roman" w:cs="Times New Roman"/>
          <w:color w:val="000000" w:themeColor="text1"/>
          <w:sz w:val="28"/>
          <w:szCs w:val="28"/>
          <w14:textFill>
            <w14:solidFill>
              <w14:schemeClr w14:val="tx1"/>
            </w14:solidFill>
          </w14:textFill>
        </w:rPr>
        <w:t>25</w:t>
      </w:r>
      <w:r>
        <w:rPr>
          <w:rFonts w:ascii="Times New Roman" w:hAnsi="Times New Roman" w:cs="Times New Roman"/>
          <w:color w:val="000000" w:themeColor="text1"/>
          <w:sz w:val="28"/>
          <w:szCs w:val="28"/>
          <w14:textFill>
            <w14:solidFill>
              <w14:schemeClr w14:val="tx1"/>
            </w14:solidFill>
          </w14:textFill>
        </w:rPr>
        <w:t>年，</w:t>
      </w:r>
      <w:r>
        <w:rPr>
          <w:rFonts w:hint="eastAsia" w:ascii="Times New Roman" w:hAnsi="Times New Roman" w:cs="Times New Roman"/>
          <w:color w:val="000000" w:themeColor="text1"/>
          <w:sz w:val="28"/>
          <w:szCs w:val="28"/>
          <w14:textFill>
            <w14:solidFill>
              <w14:schemeClr w14:val="tx1"/>
            </w14:solidFill>
          </w14:textFill>
        </w:rPr>
        <w:t>大运河宿州段</w:t>
      </w:r>
      <w:r>
        <w:rPr>
          <w:rFonts w:ascii="Times New Roman" w:hAnsi="Times New Roman" w:cs="Times New Roman"/>
          <w:color w:val="000000" w:themeColor="text1"/>
          <w:sz w:val="28"/>
          <w:szCs w:val="28"/>
          <w14:textFill>
            <w14:solidFill>
              <w14:schemeClr w14:val="tx1"/>
            </w14:solidFill>
          </w14:textFill>
        </w:rPr>
        <w:t>受污染耕地安全利用率达到9</w:t>
      </w:r>
      <w:r>
        <w:rPr>
          <w:rFonts w:hint="eastAsia" w:ascii="Times New Roman" w:hAnsi="Times New Roman" w:cs="Times New Roman"/>
          <w:color w:val="000000" w:themeColor="text1"/>
          <w:sz w:val="28"/>
          <w:szCs w:val="28"/>
          <w14:textFill>
            <w14:solidFill>
              <w14:schemeClr w14:val="tx1"/>
            </w14:solidFill>
          </w14:textFill>
        </w:rPr>
        <w:t>4</w:t>
      </w:r>
      <w:r>
        <w:rPr>
          <w:rFonts w:ascii="Times New Roman" w:hAnsi="Times New Roman" w:cs="Times New Roman"/>
          <w:color w:val="000000" w:themeColor="text1"/>
          <w:sz w:val="28"/>
          <w:szCs w:val="28"/>
          <w14:textFill>
            <w14:solidFill>
              <w14:schemeClr w14:val="tx1"/>
            </w14:solidFill>
          </w14:textFill>
        </w:rPr>
        <w:t>%以上，污染地块安全利用率达到9</w:t>
      </w:r>
      <w:r>
        <w:rPr>
          <w:rFonts w:hint="eastAsia" w:ascii="Times New Roman" w:hAnsi="Times New Roman" w:cs="Times New Roman"/>
          <w:color w:val="000000" w:themeColor="text1"/>
          <w:sz w:val="28"/>
          <w:szCs w:val="28"/>
          <w14:textFill>
            <w14:solidFill>
              <w14:schemeClr w14:val="tx1"/>
            </w14:solidFill>
          </w14:textFill>
        </w:rPr>
        <w:t>2</w:t>
      </w:r>
      <w:r>
        <w:rPr>
          <w:rFonts w:ascii="Times New Roman" w:hAnsi="Times New Roman" w:cs="Times New Roman"/>
          <w:color w:val="000000" w:themeColor="text1"/>
          <w:sz w:val="28"/>
          <w:szCs w:val="28"/>
          <w14:textFill>
            <w14:solidFill>
              <w14:schemeClr w14:val="tx1"/>
            </w14:solidFill>
          </w14:textFill>
        </w:rPr>
        <w:t>%以上。</w:t>
      </w:r>
    </w:p>
    <w:p>
      <w:pPr>
        <w:widowControl/>
        <w:jc w:val="left"/>
        <w:rPr>
          <w:b/>
          <w:bCs/>
          <w:sz w:val="24"/>
        </w:rPr>
      </w:pPr>
      <w:r>
        <w:rPr>
          <w:b/>
          <w:bCs/>
          <w:sz w:val="24"/>
        </w:rPr>
        <w:br w:type="page"/>
      </w:r>
    </w:p>
    <w:p>
      <w:pPr>
        <w:pStyle w:val="3"/>
        <w:spacing w:before="374" w:beforeLines="120" w:after="374" w:afterLines="120"/>
      </w:pPr>
      <w:bookmarkStart w:id="47" w:name="_Toc84536506"/>
      <w:r>
        <w:rPr>
          <w:rFonts w:hint="eastAsia"/>
        </w:rPr>
        <w:t>2 大运河宿州段流域生态环境状况</w:t>
      </w:r>
      <w:bookmarkEnd w:id="47"/>
    </w:p>
    <w:p>
      <w:pPr>
        <w:pStyle w:val="4"/>
        <w:spacing w:before="312" w:after="312"/>
        <w:rPr>
          <w:rFonts w:eastAsiaTheme="minorEastAsia"/>
        </w:rPr>
      </w:pPr>
      <w:bookmarkStart w:id="48" w:name="_Toc84536507"/>
      <w:r>
        <w:rPr>
          <w:rFonts w:hint="eastAsia" w:eastAsiaTheme="minorEastAsia"/>
        </w:rPr>
        <w:t>2</w:t>
      </w:r>
      <w:r>
        <w:rPr>
          <w:rFonts w:hint="eastAsia"/>
        </w:rPr>
        <w:t xml:space="preserve">.1 </w:t>
      </w:r>
      <w:r>
        <w:rPr>
          <w:rFonts w:hint="eastAsia" w:asciiTheme="minorEastAsia" w:hAnsiTheme="minorEastAsia" w:eastAsiaTheme="minorEastAsia"/>
        </w:rPr>
        <w:t>大运河宿州段流域生态</w:t>
      </w:r>
      <w:r>
        <w:rPr>
          <w:rFonts w:asciiTheme="minorEastAsia" w:hAnsiTheme="minorEastAsia" w:eastAsiaTheme="minorEastAsia"/>
        </w:rPr>
        <w:t>环境现状调查</w:t>
      </w:r>
      <w:bookmarkEnd w:id="48"/>
    </w:p>
    <w:p>
      <w:pPr>
        <w:spacing w:line="360" w:lineRule="auto"/>
        <w:ind w:firstLine="560" w:firstLineChars="200"/>
        <w:rPr>
          <w:sz w:val="28"/>
          <w:szCs w:val="28"/>
        </w:rPr>
      </w:pPr>
      <w:r>
        <w:rPr>
          <w:rFonts w:hint="eastAsia"/>
          <w:sz w:val="28"/>
          <w:szCs w:val="28"/>
        </w:rPr>
        <w:t>大运河遗产（安徽·宿州段）在经埇桥区西二铺乡、宿州市区、埇桥区朱仙庄镇、埇桥区大店镇、灵璧县娄庄镇、灵城镇、</w:t>
      </w:r>
      <w:bookmarkStart w:id="49" w:name="OLE_LINK2"/>
      <w:bookmarkStart w:id="50" w:name="OLE_LINK1"/>
      <w:r>
        <w:rPr>
          <w:rFonts w:hint="eastAsia"/>
          <w:sz w:val="28"/>
          <w:szCs w:val="28"/>
        </w:rPr>
        <w:t>灵璧经济开发区</w:t>
      </w:r>
      <w:bookmarkEnd w:id="49"/>
      <w:r>
        <w:rPr>
          <w:rFonts w:hint="eastAsia"/>
          <w:sz w:val="28"/>
          <w:szCs w:val="28"/>
        </w:rPr>
        <w:t>、</w:t>
      </w:r>
      <w:bookmarkEnd w:id="50"/>
      <w:r>
        <w:rPr>
          <w:rFonts w:hint="eastAsia"/>
          <w:sz w:val="28"/>
          <w:szCs w:val="28"/>
        </w:rPr>
        <w:t>虞姬镇</w:t>
      </w:r>
      <w:r>
        <w:rPr>
          <w:rFonts w:hint="eastAsia"/>
          <w:color w:val="000000" w:themeColor="text1"/>
          <w:sz w:val="28"/>
          <w:szCs w:val="28"/>
          <w14:textFill>
            <w14:solidFill>
              <w14:schemeClr w14:val="tx1"/>
            </w14:solidFill>
          </w14:textFill>
        </w:rPr>
        <w:t>、</w:t>
      </w:r>
      <w:r>
        <w:rPr>
          <w:color w:val="000000" w:themeColor="text1"/>
          <w:sz w:val="28"/>
          <w:szCs w:val="28"/>
          <w14:textFill>
            <w14:solidFill>
              <w14:schemeClr w14:val="tx1"/>
            </w14:solidFill>
          </w14:textFill>
        </w:rPr>
        <w:t>泗县</w:t>
      </w:r>
      <w:r>
        <w:rPr>
          <w:rFonts w:hint="eastAsia"/>
          <w:color w:val="000000" w:themeColor="text1"/>
          <w:sz w:val="28"/>
          <w:szCs w:val="28"/>
          <w14:textFill>
            <w14:solidFill>
              <w14:schemeClr w14:val="tx1"/>
            </w14:solidFill>
          </w14:textFill>
        </w:rPr>
        <w:t>长沟、周庄、彭铺，沿泗县303省道北侧穿城东注，向东至开发区曹苗村东头与新濉河交汇</w:t>
      </w:r>
      <w:r>
        <w:rPr>
          <w:color w:val="000000" w:themeColor="text1"/>
          <w:sz w:val="28"/>
          <w:szCs w:val="28"/>
          <w14:textFill>
            <w14:solidFill>
              <w14:schemeClr w14:val="tx1"/>
            </w14:solidFill>
          </w14:textFill>
        </w:rPr>
        <w:t>，</w:t>
      </w:r>
      <w:r>
        <w:rPr>
          <w:rFonts w:hint="eastAsia"/>
          <w:sz w:val="28"/>
          <w:szCs w:val="28"/>
        </w:rPr>
        <w:t>进入江苏省泗洪县境内，全长约140 km。宿州市泗县境内为在用河道，其余均为河道遗址。目前河道走向基本与宿州市境内303省道（泗永公路）重合，道路主要占压河道南堤。根据考古钻探调查并结合史料分析可基本确定河床宽40 m左右，北堤宽约40 m，南堤宽约20 m，局部遭到损毁。河道位置至今未有较大变动，河道两侧基本为农田和农宅，部分为林地。宿州市域内的运河河道遗址以及运河故道被宿州市人民政府公布为市级文物保护单位。</w:t>
      </w:r>
    </w:p>
    <w:p>
      <w:pPr>
        <w:spacing w:line="360" w:lineRule="auto"/>
        <w:ind w:firstLine="560" w:firstLineChars="200"/>
        <w:rPr>
          <w:rFonts w:eastAsiaTheme="minorEastAsia"/>
          <w:sz w:val="28"/>
          <w:szCs w:val="28"/>
        </w:rPr>
      </w:pPr>
      <w:r>
        <w:rPr>
          <w:rFonts w:hint="eastAsia" w:eastAsiaTheme="minorEastAsia"/>
          <w:sz w:val="28"/>
          <w:szCs w:val="28"/>
        </w:rPr>
        <w:t>大运河淤埋地下河段涉及埇桥区和灵璧县，有水河段只涉及泗县，运河河道与新濉河河道重合共有19</w:t>
      </w:r>
      <w:r>
        <w:rPr>
          <w:rFonts w:hint="eastAsia" w:eastAsiaTheme="minorEastAsia"/>
          <w:color w:val="000000" w:themeColor="text1"/>
          <w:sz w:val="28"/>
          <w:szCs w:val="28"/>
          <w14:textFill>
            <w14:solidFill>
              <w14:schemeClr w14:val="tx1"/>
            </w14:solidFill>
          </w14:textFill>
        </w:rPr>
        <w:t xml:space="preserve"> km，</w:t>
      </w:r>
      <w:r>
        <w:rPr>
          <w:rFonts w:hint="eastAsia" w:eastAsiaTheme="minorEastAsia"/>
          <w:sz w:val="28"/>
          <w:szCs w:val="28"/>
        </w:rPr>
        <w:t>保留的古河道又称小汴河，</w:t>
      </w:r>
      <w:r>
        <w:rPr>
          <w:rFonts w:eastAsiaTheme="minorEastAsia"/>
          <w:sz w:val="28"/>
          <w:szCs w:val="28"/>
        </w:rPr>
        <w:t>总长度为</w:t>
      </w:r>
      <w:r>
        <w:rPr>
          <w:rFonts w:hint="eastAsia" w:eastAsiaTheme="minorEastAsia"/>
          <w:color w:val="000000" w:themeColor="text1"/>
          <w:sz w:val="28"/>
          <w:szCs w:val="28"/>
          <w14:textFill>
            <w14:solidFill>
              <w14:schemeClr w14:val="tx1"/>
            </w14:solidFill>
          </w14:textFill>
        </w:rPr>
        <w:t>28.8 km。由于</w:t>
      </w:r>
      <w:r>
        <w:rPr>
          <w:rFonts w:hint="eastAsia" w:eastAsiaTheme="minorEastAsia"/>
          <w:sz w:val="28"/>
          <w:szCs w:val="28"/>
        </w:rPr>
        <w:t>淤埋地下河段</w:t>
      </w:r>
      <w:r>
        <w:rPr>
          <w:rFonts w:hint="eastAsia" w:eastAsiaTheme="minorEastAsia"/>
          <w:color w:val="000000" w:themeColor="text1"/>
          <w:sz w:val="28"/>
          <w:szCs w:val="28"/>
          <w14:textFill>
            <w14:solidFill>
              <w14:schemeClr w14:val="tx1"/>
            </w14:solidFill>
          </w14:textFill>
        </w:rPr>
        <w:t>河道遗址走向从隋唐时期开始至今变动较少，河床现基本为地下遗址，局部地面可见河堤、坝，因此本章节主要介绍大运河宿州段有水</w:t>
      </w:r>
      <w:r>
        <w:rPr>
          <w:rFonts w:hint="eastAsia" w:eastAsiaTheme="minorEastAsia"/>
          <w:sz w:val="28"/>
          <w:szCs w:val="28"/>
        </w:rPr>
        <w:t>河段</w:t>
      </w:r>
      <w:r>
        <w:rPr>
          <w:rFonts w:hint="eastAsia" w:eastAsiaTheme="minorEastAsia"/>
          <w:color w:val="000000" w:themeColor="text1"/>
          <w:sz w:val="28"/>
          <w:szCs w:val="28"/>
          <w14:textFill>
            <w14:solidFill>
              <w14:schemeClr w14:val="tx1"/>
            </w14:solidFill>
          </w14:textFill>
        </w:rPr>
        <w:t>的基本情况。</w:t>
      </w:r>
    </w:p>
    <w:p>
      <w:pPr>
        <w:pStyle w:val="25"/>
        <w:spacing w:before="156" w:after="156"/>
        <w:ind w:left="0" w:leftChars="0"/>
      </w:pPr>
      <w:bookmarkStart w:id="51" w:name="_Toc84536508"/>
      <w:r>
        <w:rPr>
          <w:rFonts w:hint="eastAsia"/>
        </w:rPr>
        <w:t>2.1.1 主要支流支沟</w:t>
      </w:r>
      <w:bookmarkEnd w:id="51"/>
    </w:p>
    <w:p>
      <w:pPr>
        <w:spacing w:line="360" w:lineRule="auto"/>
        <w:ind w:firstLine="560" w:firstLineChars="200"/>
        <w:rPr>
          <w:rFonts w:eastAsiaTheme="minorEastAsia"/>
          <w:sz w:val="28"/>
          <w:szCs w:val="28"/>
        </w:rPr>
      </w:pPr>
      <w:r>
        <w:rPr>
          <w:rFonts w:hint="eastAsia" w:eastAsiaTheme="minorEastAsia"/>
          <w:sz w:val="28"/>
          <w:szCs w:val="28"/>
        </w:rPr>
        <w:t>小汴河长沟街以西至唐河段水流流向唐河，长沟街以东至水口魏段水流汇入石梁河，流域内汇水面积44.7 km，全长28.80 km。主要支流水系见图2-1</w:t>
      </w:r>
    </w:p>
    <w:p>
      <w:pPr>
        <w:spacing w:line="360" w:lineRule="auto"/>
        <w:ind w:firstLine="560" w:firstLineChars="200"/>
        <w:rPr>
          <w:rFonts w:eastAsiaTheme="minorEastAsia"/>
          <w:sz w:val="28"/>
          <w:szCs w:val="28"/>
        </w:rPr>
      </w:pPr>
      <w:r>
        <w:rPr>
          <w:rFonts w:hint="eastAsia" w:eastAsiaTheme="minorEastAsia"/>
          <w:sz w:val="28"/>
          <w:szCs w:val="28"/>
        </w:rPr>
        <w:t>小汴河的直入大沟</w:t>
      </w:r>
      <w:r>
        <w:rPr>
          <w:rFonts w:eastAsiaTheme="minorEastAsia"/>
          <w:sz w:val="28"/>
          <w:szCs w:val="28"/>
        </w:rPr>
        <w:t>主要为</w:t>
      </w:r>
      <w:r>
        <w:rPr>
          <w:rFonts w:hint="eastAsia" w:eastAsiaTheme="minorEastAsia"/>
          <w:sz w:val="28"/>
          <w:szCs w:val="28"/>
        </w:rPr>
        <w:t>红旗沟、大寨沟、洪灵沟、清水沟</w:t>
      </w:r>
      <w:r>
        <w:rPr>
          <w:rFonts w:eastAsiaTheme="minorEastAsia"/>
          <w:sz w:val="28"/>
          <w:szCs w:val="28"/>
        </w:rPr>
        <w:t>，</w:t>
      </w:r>
      <w:r>
        <w:rPr>
          <w:rFonts w:hint="eastAsia" w:eastAsiaTheme="minorEastAsia"/>
          <w:sz w:val="28"/>
          <w:szCs w:val="28"/>
        </w:rPr>
        <w:t>均</w:t>
      </w:r>
      <w:r>
        <w:rPr>
          <w:rFonts w:eastAsiaTheme="minorEastAsia"/>
          <w:sz w:val="28"/>
          <w:szCs w:val="28"/>
        </w:rPr>
        <w:t>位于</w:t>
      </w:r>
      <w:r>
        <w:rPr>
          <w:rFonts w:hint="eastAsia" w:eastAsiaTheme="minorEastAsia"/>
          <w:sz w:val="28"/>
          <w:szCs w:val="28"/>
        </w:rPr>
        <w:t>小汴河左</w:t>
      </w:r>
      <w:r>
        <w:rPr>
          <w:rFonts w:eastAsiaTheme="minorEastAsia"/>
          <w:sz w:val="28"/>
          <w:szCs w:val="28"/>
        </w:rPr>
        <w:t>岸</w:t>
      </w:r>
      <w:r>
        <w:rPr>
          <w:rFonts w:hint="eastAsia" w:eastAsiaTheme="minorEastAsia"/>
          <w:sz w:val="28"/>
          <w:szCs w:val="28"/>
        </w:rPr>
        <w:t>，基本情况见表2-1</w:t>
      </w:r>
      <w:r>
        <w:rPr>
          <w:rFonts w:eastAsiaTheme="minorEastAsia"/>
          <w:sz w:val="28"/>
          <w:szCs w:val="28"/>
        </w:rPr>
        <w:t>。</w:t>
      </w:r>
    </w:p>
    <w:p>
      <w:pPr>
        <w:spacing w:line="360" w:lineRule="auto"/>
        <w:jc w:val="center"/>
        <w:rPr>
          <w:b/>
          <w:bCs/>
          <w:sz w:val="24"/>
        </w:rPr>
      </w:pPr>
      <w:r>
        <w:rPr>
          <w:rFonts w:hint="eastAsia"/>
          <w:b/>
          <w:bCs/>
          <w:sz w:val="24"/>
        </w:rPr>
        <w:t>表</w:t>
      </w:r>
      <w:r>
        <w:rPr>
          <w:b/>
          <w:bCs/>
          <w:sz w:val="24"/>
        </w:rPr>
        <w:t>2-1</w:t>
      </w:r>
      <w:r>
        <w:rPr>
          <w:rFonts w:hint="eastAsia"/>
          <w:b/>
          <w:bCs/>
          <w:sz w:val="24"/>
        </w:rPr>
        <w:t xml:space="preserve">  </w:t>
      </w:r>
      <w:r>
        <w:rPr>
          <w:b/>
          <w:bCs/>
          <w:sz w:val="24"/>
        </w:rPr>
        <w:tab/>
      </w:r>
      <w:r>
        <w:rPr>
          <w:rFonts w:hint="eastAsia"/>
          <w:b/>
          <w:bCs/>
          <w:sz w:val="24"/>
        </w:rPr>
        <w:t>小汴河主要支沟基本情况表</w:t>
      </w:r>
    </w:p>
    <w:tbl>
      <w:tblPr>
        <w:tblStyle w:val="29"/>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2"/>
        <w:gridCol w:w="2132"/>
        <w:gridCol w:w="2132"/>
        <w:gridCol w:w="21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2" w:type="dxa"/>
            <w:vAlign w:val="center"/>
          </w:tcPr>
          <w:p>
            <w:pPr>
              <w:jc w:val="center"/>
              <w:rPr>
                <w:b/>
                <w:bCs/>
                <w:sz w:val="24"/>
              </w:rPr>
            </w:pPr>
            <w:r>
              <w:rPr>
                <w:rFonts w:hint="eastAsia"/>
                <w:b/>
                <w:bCs/>
                <w:sz w:val="24"/>
              </w:rPr>
              <w:t>序号</w:t>
            </w:r>
          </w:p>
        </w:tc>
        <w:tc>
          <w:tcPr>
            <w:tcW w:w="2132" w:type="dxa"/>
            <w:vAlign w:val="center"/>
          </w:tcPr>
          <w:p>
            <w:pPr>
              <w:jc w:val="center"/>
              <w:rPr>
                <w:b/>
                <w:bCs/>
                <w:sz w:val="24"/>
              </w:rPr>
            </w:pPr>
            <w:r>
              <w:rPr>
                <w:rFonts w:hint="eastAsia"/>
                <w:b/>
                <w:bCs/>
                <w:sz w:val="24"/>
              </w:rPr>
              <w:t>支沟名称</w:t>
            </w:r>
          </w:p>
        </w:tc>
        <w:tc>
          <w:tcPr>
            <w:tcW w:w="2132" w:type="dxa"/>
            <w:vAlign w:val="center"/>
          </w:tcPr>
          <w:p>
            <w:pPr>
              <w:jc w:val="center"/>
              <w:rPr>
                <w:b/>
                <w:bCs/>
                <w:sz w:val="24"/>
              </w:rPr>
            </w:pPr>
            <w:r>
              <w:rPr>
                <w:rFonts w:hint="eastAsia"/>
                <w:b/>
                <w:bCs/>
                <w:sz w:val="24"/>
              </w:rPr>
              <w:t>河流长度</w:t>
            </w:r>
          </w:p>
          <w:p>
            <w:pPr>
              <w:jc w:val="center"/>
              <w:rPr>
                <w:b/>
                <w:bCs/>
                <w:sz w:val="24"/>
              </w:rPr>
            </w:pPr>
            <w:r>
              <w:rPr>
                <w:rFonts w:hint="eastAsia"/>
                <w:b/>
                <w:bCs/>
                <w:sz w:val="24"/>
              </w:rPr>
              <w:t>（km）</w:t>
            </w:r>
          </w:p>
        </w:tc>
        <w:tc>
          <w:tcPr>
            <w:tcW w:w="2132" w:type="dxa"/>
            <w:vAlign w:val="center"/>
          </w:tcPr>
          <w:p>
            <w:pPr>
              <w:jc w:val="center"/>
              <w:rPr>
                <w:b/>
                <w:bCs/>
                <w:sz w:val="24"/>
              </w:rPr>
            </w:pPr>
            <w:r>
              <w:rPr>
                <w:rFonts w:hint="eastAsia"/>
                <w:b/>
                <w:bCs/>
                <w:sz w:val="24"/>
              </w:rPr>
              <w:t>流域面积</w:t>
            </w:r>
          </w:p>
          <w:p>
            <w:pPr>
              <w:jc w:val="center"/>
              <w:rPr>
                <w:b/>
                <w:bCs/>
                <w:sz w:val="24"/>
              </w:rPr>
            </w:pPr>
            <w:r>
              <w:rPr>
                <w:rFonts w:hint="eastAsia"/>
                <w:b/>
                <w:bCs/>
                <w:sz w:val="24"/>
              </w:rPr>
              <w:t>（km</w:t>
            </w:r>
            <w:r>
              <w:rPr>
                <w:rFonts w:hint="eastAsia"/>
                <w:b/>
                <w:bCs/>
                <w:sz w:val="24"/>
                <w:vertAlign w:val="superscript"/>
              </w:rPr>
              <w:t>2</w:t>
            </w:r>
            <w:r>
              <w:rPr>
                <w:rFonts w:hint="eastAsia"/>
                <w:b/>
                <w:bCs/>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2" w:type="dxa"/>
          </w:tcPr>
          <w:p>
            <w:pPr>
              <w:spacing w:line="360" w:lineRule="auto"/>
              <w:jc w:val="center"/>
              <w:rPr>
                <w:bCs/>
                <w:sz w:val="24"/>
              </w:rPr>
            </w:pPr>
            <w:r>
              <w:rPr>
                <w:rFonts w:hint="eastAsia"/>
                <w:bCs/>
                <w:sz w:val="24"/>
              </w:rPr>
              <w:t>1</w:t>
            </w:r>
          </w:p>
        </w:tc>
        <w:tc>
          <w:tcPr>
            <w:tcW w:w="2132" w:type="dxa"/>
          </w:tcPr>
          <w:p>
            <w:pPr>
              <w:spacing w:line="360" w:lineRule="auto"/>
              <w:jc w:val="center"/>
              <w:rPr>
                <w:bCs/>
                <w:sz w:val="24"/>
              </w:rPr>
            </w:pPr>
            <w:r>
              <w:rPr>
                <w:rFonts w:hint="eastAsia"/>
                <w:bCs/>
                <w:sz w:val="24"/>
              </w:rPr>
              <w:t>红旗沟</w:t>
            </w:r>
          </w:p>
        </w:tc>
        <w:tc>
          <w:tcPr>
            <w:tcW w:w="2132" w:type="dxa"/>
          </w:tcPr>
          <w:p>
            <w:pPr>
              <w:spacing w:line="360" w:lineRule="auto"/>
              <w:jc w:val="center"/>
              <w:rPr>
                <w:bCs/>
                <w:sz w:val="24"/>
              </w:rPr>
            </w:pPr>
            <w:r>
              <w:rPr>
                <w:rFonts w:hint="eastAsia"/>
                <w:bCs/>
                <w:sz w:val="24"/>
              </w:rPr>
              <w:t>8.5</w:t>
            </w:r>
          </w:p>
        </w:tc>
        <w:tc>
          <w:tcPr>
            <w:tcW w:w="2132" w:type="dxa"/>
          </w:tcPr>
          <w:p>
            <w:pPr>
              <w:spacing w:line="360" w:lineRule="auto"/>
              <w:jc w:val="center"/>
              <w:rPr>
                <w:bCs/>
                <w:sz w:val="24"/>
              </w:rPr>
            </w:pPr>
            <w:r>
              <w:rPr>
                <w:rFonts w:hint="eastAsia"/>
                <w:bCs/>
                <w:sz w:val="24"/>
              </w:rPr>
              <w:t>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2" w:type="dxa"/>
          </w:tcPr>
          <w:p>
            <w:pPr>
              <w:spacing w:line="360" w:lineRule="auto"/>
              <w:jc w:val="center"/>
              <w:rPr>
                <w:bCs/>
                <w:sz w:val="24"/>
              </w:rPr>
            </w:pPr>
            <w:r>
              <w:rPr>
                <w:rFonts w:hint="eastAsia"/>
                <w:bCs/>
                <w:sz w:val="24"/>
              </w:rPr>
              <w:t>2</w:t>
            </w:r>
          </w:p>
        </w:tc>
        <w:tc>
          <w:tcPr>
            <w:tcW w:w="2132" w:type="dxa"/>
          </w:tcPr>
          <w:p>
            <w:pPr>
              <w:spacing w:line="360" w:lineRule="auto"/>
              <w:jc w:val="center"/>
              <w:rPr>
                <w:bCs/>
                <w:sz w:val="24"/>
              </w:rPr>
            </w:pPr>
            <w:r>
              <w:rPr>
                <w:rFonts w:hint="eastAsia"/>
                <w:bCs/>
                <w:sz w:val="24"/>
              </w:rPr>
              <w:t>大寨沟</w:t>
            </w:r>
          </w:p>
        </w:tc>
        <w:tc>
          <w:tcPr>
            <w:tcW w:w="2132" w:type="dxa"/>
          </w:tcPr>
          <w:p>
            <w:pPr>
              <w:spacing w:line="360" w:lineRule="auto"/>
              <w:jc w:val="center"/>
              <w:rPr>
                <w:bCs/>
                <w:sz w:val="24"/>
              </w:rPr>
            </w:pPr>
            <w:r>
              <w:rPr>
                <w:rFonts w:hint="eastAsia"/>
                <w:bCs/>
                <w:sz w:val="24"/>
              </w:rPr>
              <w:t>9.8</w:t>
            </w:r>
          </w:p>
        </w:tc>
        <w:tc>
          <w:tcPr>
            <w:tcW w:w="2132" w:type="dxa"/>
          </w:tcPr>
          <w:p>
            <w:pPr>
              <w:spacing w:line="360" w:lineRule="auto"/>
              <w:jc w:val="center"/>
              <w:rPr>
                <w:bCs/>
                <w:sz w:val="24"/>
              </w:rPr>
            </w:pPr>
            <w:r>
              <w:rPr>
                <w:rFonts w:hint="eastAsia"/>
                <w:bCs/>
                <w:sz w:val="24"/>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2" w:type="dxa"/>
          </w:tcPr>
          <w:p>
            <w:pPr>
              <w:spacing w:line="360" w:lineRule="auto"/>
              <w:jc w:val="center"/>
              <w:rPr>
                <w:bCs/>
                <w:sz w:val="24"/>
              </w:rPr>
            </w:pPr>
            <w:r>
              <w:rPr>
                <w:rFonts w:hint="eastAsia"/>
                <w:bCs/>
                <w:sz w:val="24"/>
              </w:rPr>
              <w:t>3</w:t>
            </w:r>
          </w:p>
        </w:tc>
        <w:tc>
          <w:tcPr>
            <w:tcW w:w="2132" w:type="dxa"/>
          </w:tcPr>
          <w:p>
            <w:pPr>
              <w:spacing w:line="360" w:lineRule="auto"/>
              <w:jc w:val="center"/>
              <w:rPr>
                <w:bCs/>
                <w:sz w:val="24"/>
              </w:rPr>
            </w:pPr>
            <w:r>
              <w:rPr>
                <w:rFonts w:hint="eastAsia"/>
                <w:bCs/>
                <w:sz w:val="24"/>
              </w:rPr>
              <w:t>洪灵沟</w:t>
            </w:r>
          </w:p>
        </w:tc>
        <w:tc>
          <w:tcPr>
            <w:tcW w:w="2132" w:type="dxa"/>
          </w:tcPr>
          <w:p>
            <w:pPr>
              <w:spacing w:line="360" w:lineRule="auto"/>
              <w:jc w:val="center"/>
              <w:rPr>
                <w:bCs/>
                <w:sz w:val="24"/>
              </w:rPr>
            </w:pPr>
            <w:r>
              <w:rPr>
                <w:rFonts w:hint="eastAsia"/>
                <w:bCs/>
                <w:sz w:val="24"/>
              </w:rPr>
              <w:t>7.5</w:t>
            </w:r>
          </w:p>
        </w:tc>
        <w:tc>
          <w:tcPr>
            <w:tcW w:w="2132" w:type="dxa"/>
          </w:tcPr>
          <w:p>
            <w:pPr>
              <w:spacing w:line="360" w:lineRule="auto"/>
              <w:jc w:val="center"/>
              <w:rPr>
                <w:bCs/>
                <w:sz w:val="24"/>
              </w:rPr>
            </w:pPr>
            <w:r>
              <w:rPr>
                <w:rFonts w:hint="eastAsia"/>
                <w:bCs/>
                <w:sz w:val="24"/>
              </w:rPr>
              <w:t>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132" w:type="dxa"/>
          </w:tcPr>
          <w:p>
            <w:pPr>
              <w:spacing w:line="360" w:lineRule="auto"/>
              <w:jc w:val="center"/>
              <w:rPr>
                <w:bCs/>
                <w:sz w:val="24"/>
              </w:rPr>
            </w:pPr>
            <w:r>
              <w:rPr>
                <w:rFonts w:hint="eastAsia"/>
                <w:bCs/>
                <w:sz w:val="24"/>
              </w:rPr>
              <w:t>4</w:t>
            </w:r>
          </w:p>
        </w:tc>
        <w:tc>
          <w:tcPr>
            <w:tcW w:w="2132" w:type="dxa"/>
          </w:tcPr>
          <w:p>
            <w:pPr>
              <w:spacing w:line="360" w:lineRule="auto"/>
              <w:jc w:val="center"/>
              <w:rPr>
                <w:bCs/>
                <w:sz w:val="24"/>
              </w:rPr>
            </w:pPr>
            <w:r>
              <w:rPr>
                <w:rFonts w:hint="eastAsia"/>
                <w:bCs/>
                <w:sz w:val="24"/>
              </w:rPr>
              <w:t>清水沟</w:t>
            </w:r>
          </w:p>
        </w:tc>
        <w:tc>
          <w:tcPr>
            <w:tcW w:w="2132" w:type="dxa"/>
          </w:tcPr>
          <w:p>
            <w:pPr>
              <w:spacing w:line="360" w:lineRule="auto"/>
              <w:jc w:val="center"/>
              <w:rPr>
                <w:bCs/>
                <w:sz w:val="24"/>
              </w:rPr>
            </w:pPr>
            <w:r>
              <w:rPr>
                <w:rFonts w:hint="eastAsia"/>
                <w:bCs/>
                <w:sz w:val="24"/>
              </w:rPr>
              <w:t>3.0</w:t>
            </w:r>
          </w:p>
        </w:tc>
        <w:tc>
          <w:tcPr>
            <w:tcW w:w="2132" w:type="dxa"/>
          </w:tcPr>
          <w:p>
            <w:pPr>
              <w:spacing w:line="360" w:lineRule="auto"/>
              <w:jc w:val="center"/>
              <w:rPr>
                <w:bCs/>
                <w:sz w:val="24"/>
              </w:rPr>
            </w:pPr>
            <w:r>
              <w:rPr>
                <w:rFonts w:hint="eastAsia"/>
                <w:bCs/>
                <w:sz w:val="24"/>
              </w:rPr>
              <w:t>0.05</w:t>
            </w:r>
          </w:p>
        </w:tc>
      </w:tr>
    </w:tbl>
    <w:p>
      <w:pPr>
        <w:spacing w:before="156" w:beforeLines="50" w:line="360" w:lineRule="auto"/>
        <w:jc w:val="left"/>
        <w:rPr>
          <w:sz w:val="24"/>
        </w:rPr>
      </w:pPr>
    </w:p>
    <w:p>
      <w:pPr>
        <w:pStyle w:val="25"/>
        <w:spacing w:before="156" w:after="156"/>
        <w:ind w:left="0" w:leftChars="0"/>
      </w:pPr>
      <w:bookmarkStart w:id="52" w:name="_Toc84536509"/>
      <w:r>
        <w:rPr>
          <w:rFonts w:hint="eastAsia"/>
        </w:rPr>
        <w:t>2.1.2 水利工程</w:t>
      </w:r>
      <w:bookmarkEnd w:id="52"/>
    </w:p>
    <w:p>
      <w:pPr>
        <w:spacing w:before="156" w:beforeLines="50" w:line="360" w:lineRule="auto"/>
        <w:ind w:firstLine="560" w:firstLineChars="200"/>
        <w:jc w:val="left"/>
        <w:rPr>
          <w:rFonts w:eastAsiaTheme="minorEastAsia"/>
          <w:sz w:val="28"/>
          <w:szCs w:val="28"/>
        </w:rPr>
      </w:pPr>
      <w:r>
        <w:rPr>
          <w:rFonts w:hint="eastAsia" w:eastAsiaTheme="minorEastAsia"/>
          <w:sz w:val="28"/>
          <w:szCs w:val="28"/>
        </w:rPr>
        <w:t>小汴河</w:t>
      </w:r>
      <w:r>
        <w:rPr>
          <w:rFonts w:eastAsiaTheme="minorEastAsia"/>
          <w:sz w:val="28"/>
          <w:szCs w:val="28"/>
        </w:rPr>
        <w:t>水利工程共计</w:t>
      </w:r>
      <w:r>
        <w:rPr>
          <w:rFonts w:hint="eastAsia" w:eastAsiaTheme="minorEastAsia"/>
          <w:sz w:val="28"/>
          <w:szCs w:val="28"/>
        </w:rPr>
        <w:t>2</w:t>
      </w:r>
      <w:r>
        <w:rPr>
          <w:rFonts w:eastAsiaTheme="minorEastAsia"/>
          <w:sz w:val="28"/>
          <w:szCs w:val="28"/>
        </w:rPr>
        <w:t>座，占用岸线总长度</w:t>
      </w:r>
      <w:r>
        <w:rPr>
          <w:rFonts w:hint="eastAsia" w:eastAsiaTheme="minorEastAsia"/>
          <w:sz w:val="28"/>
          <w:szCs w:val="28"/>
        </w:rPr>
        <w:t xml:space="preserve">0.840 </w:t>
      </w:r>
      <w:r>
        <w:rPr>
          <w:rFonts w:eastAsiaTheme="minorEastAsia"/>
          <w:sz w:val="28"/>
          <w:szCs w:val="28"/>
        </w:rPr>
        <w:t>km，占</w:t>
      </w:r>
      <w:r>
        <w:rPr>
          <w:rFonts w:hint="eastAsia" w:eastAsiaTheme="minorEastAsia"/>
          <w:sz w:val="28"/>
          <w:szCs w:val="28"/>
        </w:rPr>
        <w:t>小汴河</w:t>
      </w:r>
      <w:r>
        <w:rPr>
          <w:rFonts w:eastAsiaTheme="minorEastAsia"/>
          <w:sz w:val="28"/>
          <w:szCs w:val="28"/>
        </w:rPr>
        <w:t>岸线比例的</w:t>
      </w:r>
      <w:r>
        <w:rPr>
          <w:rFonts w:hint="eastAsia" w:eastAsiaTheme="minorEastAsia"/>
          <w:sz w:val="28"/>
          <w:szCs w:val="28"/>
        </w:rPr>
        <w:t>1.45</w:t>
      </w:r>
      <w:r>
        <w:rPr>
          <w:rFonts w:eastAsiaTheme="minorEastAsia"/>
          <w:sz w:val="28"/>
          <w:szCs w:val="28"/>
        </w:rPr>
        <w:t>%</w:t>
      </w:r>
      <w:r>
        <w:rPr>
          <w:rFonts w:hint="eastAsia" w:eastAsiaTheme="minorEastAsia"/>
          <w:sz w:val="28"/>
          <w:szCs w:val="28"/>
        </w:rPr>
        <w:t>。河道</w:t>
      </w:r>
      <w:r>
        <w:rPr>
          <w:rFonts w:eastAsiaTheme="minorEastAsia"/>
          <w:sz w:val="28"/>
          <w:szCs w:val="28"/>
        </w:rPr>
        <w:t>现状水利工程名录及位置见表2</w:t>
      </w:r>
      <w:r>
        <w:rPr>
          <w:rFonts w:hint="eastAsia" w:eastAsiaTheme="minorEastAsia"/>
          <w:sz w:val="28"/>
          <w:szCs w:val="28"/>
        </w:rPr>
        <w:t>-2</w:t>
      </w:r>
      <w:r>
        <w:rPr>
          <w:rFonts w:eastAsiaTheme="minorEastAsia"/>
          <w:sz w:val="28"/>
          <w:szCs w:val="28"/>
        </w:rPr>
        <w:t>。</w:t>
      </w:r>
    </w:p>
    <w:p>
      <w:pPr>
        <w:spacing w:line="360" w:lineRule="auto"/>
        <w:jc w:val="center"/>
        <w:rPr>
          <w:b/>
          <w:bCs/>
          <w:sz w:val="24"/>
        </w:rPr>
      </w:pPr>
      <w:r>
        <w:rPr>
          <w:b/>
          <w:bCs/>
          <w:sz w:val="24"/>
        </w:rPr>
        <w:t>表2</w:t>
      </w:r>
      <w:r>
        <w:rPr>
          <w:rFonts w:hint="eastAsia"/>
          <w:b/>
          <w:bCs/>
          <w:sz w:val="24"/>
        </w:rPr>
        <w:t xml:space="preserve">-2  </w:t>
      </w:r>
      <w:r>
        <w:rPr>
          <w:b/>
          <w:bCs/>
          <w:sz w:val="24"/>
        </w:rPr>
        <w:t>小汴河现状水利工程名录及位置统计表</w:t>
      </w:r>
    </w:p>
    <w:tbl>
      <w:tblPr>
        <w:tblStyle w:val="28"/>
        <w:tblW w:w="8061"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49"/>
        <w:gridCol w:w="554"/>
        <w:gridCol w:w="823"/>
        <w:gridCol w:w="1261"/>
        <w:gridCol w:w="1436"/>
        <w:gridCol w:w="1436"/>
        <w:gridCol w:w="1044"/>
        <w:gridCol w:w="75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06" w:hRule="atLeast"/>
          <w:tblHeader/>
          <w:jc w:val="center"/>
        </w:trPr>
        <w:tc>
          <w:tcPr>
            <w:tcW w:w="749" w:type="dxa"/>
            <w:vMerge w:val="restart"/>
            <w:vAlign w:val="center"/>
          </w:tcPr>
          <w:p>
            <w:pPr>
              <w:pStyle w:val="57"/>
              <w:spacing w:before="3" w:line="240" w:lineRule="auto"/>
              <w:ind w:left="88" w:right="78"/>
              <w:rPr>
                <w:rFonts w:ascii="Times New Roman" w:hAnsi="Times New Roman" w:cs="Times New Roman" w:eastAsiaTheme="minorEastAsia"/>
                <w:b/>
                <w:sz w:val="24"/>
                <w:szCs w:val="24"/>
                <w:lang w:val="en-US"/>
              </w:rPr>
            </w:pPr>
            <w:r>
              <w:rPr>
                <w:rFonts w:ascii="Times New Roman" w:hAnsi="Times New Roman" w:cs="Times New Roman" w:eastAsiaTheme="minorEastAsia"/>
                <w:b/>
                <w:sz w:val="24"/>
                <w:szCs w:val="24"/>
                <w:lang w:val="en-US"/>
              </w:rPr>
              <w:t>序号</w:t>
            </w:r>
          </w:p>
        </w:tc>
        <w:tc>
          <w:tcPr>
            <w:tcW w:w="554" w:type="dxa"/>
            <w:vMerge w:val="restart"/>
            <w:vAlign w:val="center"/>
          </w:tcPr>
          <w:p>
            <w:pPr>
              <w:pStyle w:val="57"/>
              <w:spacing w:before="3" w:line="240" w:lineRule="auto"/>
              <w:ind w:left="88" w:right="78"/>
              <w:rPr>
                <w:rFonts w:ascii="Times New Roman" w:hAnsi="Times New Roman" w:cs="Times New Roman" w:eastAsiaTheme="minorEastAsia"/>
                <w:b/>
                <w:sz w:val="24"/>
                <w:szCs w:val="24"/>
                <w:lang w:val="en-US"/>
              </w:rPr>
            </w:pPr>
            <w:r>
              <w:rPr>
                <w:rFonts w:ascii="Times New Roman" w:hAnsi="Times New Roman" w:cs="Times New Roman" w:eastAsiaTheme="minorEastAsia"/>
                <w:b/>
                <w:sz w:val="24"/>
                <w:szCs w:val="24"/>
                <w:lang w:val="en-US"/>
              </w:rPr>
              <w:t>县区</w:t>
            </w:r>
          </w:p>
        </w:tc>
        <w:tc>
          <w:tcPr>
            <w:tcW w:w="823" w:type="dxa"/>
            <w:vMerge w:val="restart"/>
            <w:vAlign w:val="center"/>
          </w:tcPr>
          <w:p>
            <w:pPr>
              <w:pStyle w:val="57"/>
              <w:spacing w:before="3" w:line="240" w:lineRule="auto"/>
              <w:ind w:left="88" w:right="78"/>
              <w:rPr>
                <w:rFonts w:ascii="Times New Roman" w:hAnsi="Times New Roman" w:cs="Times New Roman" w:eastAsiaTheme="minorEastAsia"/>
                <w:b/>
                <w:sz w:val="24"/>
                <w:szCs w:val="24"/>
                <w:lang w:val="en-US"/>
              </w:rPr>
            </w:pPr>
            <w:r>
              <w:rPr>
                <w:rFonts w:ascii="Times New Roman" w:hAnsi="Times New Roman" w:cs="Times New Roman" w:eastAsiaTheme="minorEastAsia"/>
                <w:b/>
                <w:sz w:val="24"/>
                <w:szCs w:val="24"/>
                <w:lang w:val="en-US"/>
              </w:rPr>
              <w:t>乡镇</w:t>
            </w:r>
          </w:p>
        </w:tc>
        <w:tc>
          <w:tcPr>
            <w:tcW w:w="1261" w:type="dxa"/>
            <w:vMerge w:val="restart"/>
            <w:vAlign w:val="center"/>
          </w:tcPr>
          <w:p>
            <w:pPr>
              <w:pStyle w:val="57"/>
              <w:spacing w:before="3" w:line="240" w:lineRule="auto"/>
              <w:ind w:right="78"/>
              <w:rPr>
                <w:rFonts w:ascii="Times New Roman" w:hAnsi="Times New Roman" w:cs="Times New Roman" w:eastAsiaTheme="minorEastAsia"/>
                <w:b/>
                <w:sz w:val="24"/>
                <w:szCs w:val="24"/>
                <w:lang w:val="en-US"/>
              </w:rPr>
            </w:pPr>
            <w:r>
              <w:rPr>
                <w:rFonts w:ascii="Times New Roman" w:hAnsi="Times New Roman" w:cs="Times New Roman" w:eastAsiaTheme="minorEastAsia"/>
                <w:b/>
                <w:sz w:val="24"/>
                <w:szCs w:val="24"/>
                <w:lang w:val="en-US"/>
              </w:rPr>
              <w:t>名称</w:t>
            </w:r>
          </w:p>
        </w:tc>
        <w:tc>
          <w:tcPr>
            <w:tcW w:w="2872" w:type="dxa"/>
            <w:gridSpan w:val="2"/>
            <w:vAlign w:val="center"/>
          </w:tcPr>
          <w:p>
            <w:pPr>
              <w:pStyle w:val="57"/>
              <w:spacing w:before="3" w:line="240" w:lineRule="auto"/>
              <w:ind w:right="78"/>
              <w:rPr>
                <w:rFonts w:ascii="Times New Roman" w:hAnsi="Times New Roman" w:cs="Times New Roman" w:eastAsiaTheme="minorEastAsia"/>
                <w:b/>
                <w:sz w:val="24"/>
                <w:szCs w:val="24"/>
                <w:lang w:val="en-US"/>
              </w:rPr>
            </w:pPr>
            <w:r>
              <w:rPr>
                <w:rFonts w:ascii="Times New Roman" w:hAnsi="Times New Roman" w:cs="Times New Roman" w:eastAsiaTheme="minorEastAsia"/>
                <w:b/>
                <w:sz w:val="24"/>
                <w:szCs w:val="24"/>
                <w:lang w:val="en-US"/>
              </w:rPr>
              <w:t>坐标系</w:t>
            </w:r>
          </w:p>
        </w:tc>
        <w:tc>
          <w:tcPr>
            <w:tcW w:w="1044" w:type="dxa"/>
            <w:vMerge w:val="restart"/>
            <w:vAlign w:val="center"/>
          </w:tcPr>
          <w:p>
            <w:pPr>
              <w:pStyle w:val="57"/>
              <w:spacing w:before="3" w:line="240" w:lineRule="auto"/>
              <w:ind w:left="88" w:right="78"/>
              <w:rPr>
                <w:rFonts w:ascii="Times New Roman" w:hAnsi="Times New Roman" w:cs="Times New Roman" w:eastAsiaTheme="minorEastAsia"/>
                <w:b/>
                <w:sz w:val="24"/>
                <w:szCs w:val="24"/>
                <w:lang w:val="en-US"/>
              </w:rPr>
            </w:pPr>
            <w:r>
              <w:rPr>
                <w:rFonts w:ascii="Times New Roman" w:hAnsi="Times New Roman" w:cs="Times New Roman" w:eastAsiaTheme="minorEastAsia"/>
                <w:b/>
                <w:sz w:val="24"/>
                <w:szCs w:val="24"/>
                <w:lang w:val="en-US"/>
              </w:rPr>
              <w:t>占用岸线长度（m）</w:t>
            </w:r>
          </w:p>
        </w:tc>
        <w:tc>
          <w:tcPr>
            <w:tcW w:w="758" w:type="dxa"/>
            <w:vMerge w:val="restart"/>
            <w:vAlign w:val="center"/>
          </w:tcPr>
          <w:p>
            <w:pPr>
              <w:pStyle w:val="57"/>
              <w:spacing w:before="3" w:line="240" w:lineRule="auto"/>
              <w:ind w:left="88" w:right="78"/>
              <w:rPr>
                <w:rFonts w:ascii="Times New Roman" w:hAnsi="Times New Roman" w:cs="Times New Roman" w:eastAsiaTheme="minorEastAsia"/>
                <w:b/>
                <w:sz w:val="24"/>
                <w:szCs w:val="24"/>
                <w:lang w:val="en-US"/>
              </w:rPr>
            </w:pPr>
            <w:r>
              <w:rPr>
                <w:rFonts w:ascii="Times New Roman" w:hAnsi="Times New Roman" w:cs="Times New Roman" w:eastAsiaTheme="minorEastAsia"/>
                <w:b/>
                <w:sz w:val="24"/>
                <w:szCs w:val="24"/>
                <w:lang w:val="en-US"/>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6" w:hRule="atLeast"/>
          <w:tblHeader/>
          <w:jc w:val="center"/>
        </w:trPr>
        <w:tc>
          <w:tcPr>
            <w:tcW w:w="749" w:type="dxa"/>
            <w:vMerge w:val="continue"/>
            <w:tcBorders>
              <w:top w:val="nil"/>
              <w:bottom w:val="single" w:color="auto" w:sz="4" w:space="0"/>
            </w:tcBorders>
            <w:vAlign w:val="center"/>
          </w:tcPr>
          <w:p>
            <w:pPr>
              <w:pStyle w:val="57"/>
              <w:spacing w:before="3" w:line="240" w:lineRule="auto"/>
              <w:ind w:left="88" w:right="78"/>
              <w:rPr>
                <w:rFonts w:ascii="Times New Roman" w:hAnsi="Times New Roman" w:cs="Times New Roman" w:eastAsiaTheme="minorEastAsia"/>
                <w:sz w:val="21"/>
                <w:szCs w:val="21"/>
                <w:lang w:val="en-US"/>
              </w:rPr>
            </w:pPr>
          </w:p>
        </w:tc>
        <w:tc>
          <w:tcPr>
            <w:tcW w:w="554" w:type="dxa"/>
            <w:vMerge w:val="continue"/>
            <w:tcBorders>
              <w:top w:val="nil"/>
            </w:tcBorders>
            <w:vAlign w:val="center"/>
          </w:tcPr>
          <w:p>
            <w:pPr>
              <w:pStyle w:val="57"/>
              <w:spacing w:before="3" w:line="240" w:lineRule="auto"/>
              <w:ind w:left="88" w:right="78"/>
              <w:rPr>
                <w:rFonts w:ascii="Times New Roman" w:hAnsi="Times New Roman" w:cs="Times New Roman" w:eastAsiaTheme="minorEastAsia"/>
                <w:sz w:val="21"/>
                <w:szCs w:val="21"/>
                <w:lang w:val="en-US"/>
              </w:rPr>
            </w:pPr>
          </w:p>
        </w:tc>
        <w:tc>
          <w:tcPr>
            <w:tcW w:w="823" w:type="dxa"/>
            <w:vMerge w:val="continue"/>
            <w:tcBorders>
              <w:top w:val="nil"/>
            </w:tcBorders>
            <w:vAlign w:val="center"/>
          </w:tcPr>
          <w:p>
            <w:pPr>
              <w:pStyle w:val="57"/>
              <w:spacing w:before="3" w:line="240" w:lineRule="auto"/>
              <w:ind w:left="88" w:right="78"/>
              <w:rPr>
                <w:rFonts w:ascii="Times New Roman" w:hAnsi="Times New Roman" w:cs="Times New Roman" w:eastAsiaTheme="minorEastAsia"/>
                <w:sz w:val="21"/>
                <w:szCs w:val="21"/>
                <w:lang w:val="en-US"/>
              </w:rPr>
            </w:pPr>
          </w:p>
        </w:tc>
        <w:tc>
          <w:tcPr>
            <w:tcW w:w="1261" w:type="dxa"/>
            <w:vMerge w:val="continue"/>
            <w:tcBorders>
              <w:top w:val="nil"/>
            </w:tcBorders>
            <w:vAlign w:val="center"/>
          </w:tcPr>
          <w:p>
            <w:pPr>
              <w:pStyle w:val="57"/>
              <w:spacing w:before="3" w:line="240" w:lineRule="auto"/>
              <w:ind w:left="88" w:right="78"/>
              <w:rPr>
                <w:rFonts w:ascii="Times New Roman" w:hAnsi="Times New Roman" w:cs="Times New Roman" w:eastAsiaTheme="minorEastAsia"/>
                <w:sz w:val="21"/>
                <w:szCs w:val="21"/>
                <w:lang w:val="en-US"/>
              </w:rPr>
            </w:pPr>
          </w:p>
        </w:tc>
        <w:tc>
          <w:tcPr>
            <w:tcW w:w="1436" w:type="dxa"/>
            <w:vAlign w:val="center"/>
          </w:tcPr>
          <w:p>
            <w:pPr>
              <w:pStyle w:val="57"/>
              <w:spacing w:before="3" w:line="240" w:lineRule="auto"/>
              <w:ind w:right="78"/>
              <w:rPr>
                <w:rFonts w:ascii="Times New Roman" w:hAnsi="Times New Roman" w:cs="Times New Roman" w:eastAsiaTheme="minorEastAsia"/>
                <w:sz w:val="24"/>
                <w:szCs w:val="24"/>
                <w:lang w:val="en-US"/>
              </w:rPr>
            </w:pPr>
            <w:r>
              <w:rPr>
                <w:rFonts w:ascii="Times New Roman" w:hAnsi="Times New Roman" w:cs="Times New Roman" w:eastAsiaTheme="minorEastAsia"/>
                <w:sz w:val="24"/>
                <w:szCs w:val="24"/>
                <w:lang w:val="en-US"/>
              </w:rPr>
              <w:t>X</w:t>
            </w:r>
          </w:p>
        </w:tc>
        <w:tc>
          <w:tcPr>
            <w:tcW w:w="1436" w:type="dxa"/>
            <w:vAlign w:val="center"/>
          </w:tcPr>
          <w:p>
            <w:pPr>
              <w:pStyle w:val="57"/>
              <w:spacing w:before="3" w:line="240" w:lineRule="auto"/>
              <w:ind w:right="78"/>
              <w:rPr>
                <w:rFonts w:ascii="Times New Roman" w:hAnsi="Times New Roman" w:cs="Times New Roman" w:eastAsiaTheme="minorEastAsia"/>
                <w:sz w:val="24"/>
                <w:szCs w:val="24"/>
                <w:lang w:val="en-US"/>
              </w:rPr>
            </w:pPr>
            <w:r>
              <w:rPr>
                <w:rFonts w:ascii="Times New Roman" w:hAnsi="Times New Roman" w:cs="Times New Roman" w:eastAsiaTheme="minorEastAsia"/>
                <w:sz w:val="24"/>
                <w:szCs w:val="24"/>
                <w:lang w:val="en-US"/>
              </w:rPr>
              <w:t>Y</w:t>
            </w:r>
          </w:p>
        </w:tc>
        <w:tc>
          <w:tcPr>
            <w:tcW w:w="1044" w:type="dxa"/>
            <w:vMerge w:val="continue"/>
            <w:tcBorders>
              <w:top w:val="nil"/>
            </w:tcBorders>
            <w:vAlign w:val="center"/>
          </w:tcPr>
          <w:p>
            <w:pPr>
              <w:pStyle w:val="57"/>
              <w:spacing w:before="3" w:line="240" w:lineRule="auto"/>
              <w:ind w:left="88" w:right="78"/>
              <w:rPr>
                <w:rFonts w:ascii="Times New Roman" w:hAnsi="Times New Roman" w:cs="Times New Roman" w:eastAsiaTheme="minorEastAsia"/>
                <w:sz w:val="21"/>
                <w:szCs w:val="21"/>
                <w:lang w:val="en-US"/>
              </w:rPr>
            </w:pPr>
          </w:p>
        </w:tc>
        <w:tc>
          <w:tcPr>
            <w:tcW w:w="758" w:type="dxa"/>
            <w:vMerge w:val="continue"/>
            <w:tcBorders>
              <w:top w:val="nil"/>
            </w:tcBorders>
            <w:vAlign w:val="center"/>
          </w:tcPr>
          <w:p>
            <w:pPr>
              <w:pStyle w:val="57"/>
              <w:spacing w:before="3" w:line="240" w:lineRule="auto"/>
              <w:ind w:left="88" w:right="78"/>
              <w:rPr>
                <w:rFonts w:ascii="Times New Roman" w:hAnsi="Times New Roman" w:cs="Times New Roman" w:eastAsiaTheme="minorEastAsia"/>
                <w:sz w:val="21"/>
                <w:szCs w:val="21"/>
                <w:lang w:val="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92"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pStyle w:val="57"/>
              <w:spacing w:before="3" w:line="240" w:lineRule="auto"/>
              <w:ind w:right="78"/>
              <w:rPr>
                <w:rFonts w:ascii="Times New Roman" w:hAnsi="Times New Roman" w:cs="Times New Roman" w:eastAsiaTheme="minorEastAsia"/>
                <w:sz w:val="24"/>
                <w:szCs w:val="24"/>
                <w:lang w:val="en-US"/>
              </w:rPr>
            </w:pPr>
            <w:r>
              <w:rPr>
                <w:rFonts w:ascii="Times New Roman" w:hAnsi="Times New Roman" w:cs="Times New Roman" w:eastAsiaTheme="minorEastAsia"/>
                <w:sz w:val="24"/>
                <w:szCs w:val="24"/>
                <w:lang w:val="en-US"/>
              </w:rPr>
              <w:t>1</w:t>
            </w:r>
          </w:p>
        </w:tc>
        <w:tc>
          <w:tcPr>
            <w:tcW w:w="554" w:type="dxa"/>
            <w:tcBorders>
              <w:left w:val="single" w:color="auto" w:sz="4" w:space="0"/>
            </w:tcBorders>
            <w:vAlign w:val="center"/>
          </w:tcPr>
          <w:p>
            <w:pPr>
              <w:pStyle w:val="57"/>
              <w:spacing w:before="3" w:line="240" w:lineRule="auto"/>
              <w:ind w:left="88" w:right="78"/>
              <w:rPr>
                <w:rFonts w:ascii="Times New Roman" w:hAnsi="Times New Roman" w:cs="Times New Roman" w:eastAsiaTheme="minorEastAsia"/>
                <w:sz w:val="24"/>
                <w:szCs w:val="24"/>
                <w:lang w:val="en-US"/>
              </w:rPr>
            </w:pPr>
            <w:r>
              <w:rPr>
                <w:rFonts w:ascii="Times New Roman" w:hAnsi="Times New Roman" w:cs="Times New Roman" w:eastAsiaTheme="minorEastAsia"/>
                <w:sz w:val="24"/>
                <w:szCs w:val="24"/>
                <w:lang w:val="en-US"/>
              </w:rPr>
              <w:t>泗县</w:t>
            </w:r>
          </w:p>
        </w:tc>
        <w:tc>
          <w:tcPr>
            <w:tcW w:w="823" w:type="dxa"/>
            <w:vAlign w:val="center"/>
          </w:tcPr>
          <w:p>
            <w:pPr>
              <w:pStyle w:val="57"/>
              <w:spacing w:before="3" w:line="240" w:lineRule="auto"/>
              <w:ind w:left="88" w:right="78"/>
              <w:rPr>
                <w:rFonts w:ascii="Times New Roman" w:hAnsi="Times New Roman" w:cs="Times New Roman" w:eastAsiaTheme="minorEastAsia"/>
                <w:sz w:val="24"/>
                <w:szCs w:val="24"/>
                <w:lang w:val="en-US"/>
              </w:rPr>
            </w:pPr>
            <w:r>
              <w:rPr>
                <w:rFonts w:ascii="Times New Roman" w:hAnsi="Times New Roman" w:cs="Times New Roman" w:eastAsiaTheme="minorEastAsia"/>
                <w:sz w:val="24"/>
                <w:szCs w:val="24"/>
                <w:lang w:val="en-US"/>
              </w:rPr>
              <w:t>长沟镇</w:t>
            </w:r>
          </w:p>
        </w:tc>
        <w:tc>
          <w:tcPr>
            <w:tcW w:w="1261" w:type="dxa"/>
            <w:vAlign w:val="center"/>
          </w:tcPr>
          <w:p>
            <w:pPr>
              <w:pStyle w:val="57"/>
              <w:spacing w:before="3" w:line="240" w:lineRule="auto"/>
              <w:ind w:left="88" w:right="78"/>
              <w:rPr>
                <w:rFonts w:ascii="Times New Roman" w:hAnsi="Times New Roman" w:cs="Times New Roman" w:eastAsiaTheme="minorEastAsia"/>
                <w:sz w:val="24"/>
                <w:szCs w:val="24"/>
                <w:lang w:val="en-US"/>
              </w:rPr>
            </w:pPr>
            <w:r>
              <w:rPr>
                <w:rFonts w:ascii="Times New Roman" w:hAnsi="Times New Roman" w:cs="Times New Roman" w:eastAsiaTheme="minorEastAsia"/>
                <w:sz w:val="24"/>
                <w:szCs w:val="24"/>
                <w:lang w:val="en-US"/>
              </w:rPr>
              <w:t>上马铺闸</w:t>
            </w:r>
          </w:p>
        </w:tc>
        <w:tc>
          <w:tcPr>
            <w:tcW w:w="1436" w:type="dxa"/>
            <w:vAlign w:val="center"/>
          </w:tcPr>
          <w:p>
            <w:pPr>
              <w:pStyle w:val="57"/>
              <w:spacing w:before="3" w:line="240" w:lineRule="auto"/>
              <w:ind w:left="88" w:right="78"/>
              <w:rPr>
                <w:rFonts w:ascii="Times New Roman" w:hAnsi="Times New Roman" w:cs="Times New Roman" w:eastAsiaTheme="minorEastAsia"/>
                <w:sz w:val="24"/>
                <w:szCs w:val="24"/>
                <w:lang w:val="en-US"/>
              </w:rPr>
            </w:pPr>
            <w:r>
              <w:rPr>
                <w:rFonts w:ascii="Times New Roman" w:hAnsi="Times New Roman" w:cs="Times New Roman" w:eastAsiaTheme="minorEastAsia"/>
                <w:sz w:val="24"/>
                <w:szCs w:val="24"/>
                <w:lang w:val="en-US"/>
              </w:rPr>
              <w:t>3711081.883</w:t>
            </w:r>
          </w:p>
        </w:tc>
        <w:tc>
          <w:tcPr>
            <w:tcW w:w="1436" w:type="dxa"/>
            <w:vAlign w:val="center"/>
          </w:tcPr>
          <w:p>
            <w:pPr>
              <w:pStyle w:val="57"/>
              <w:spacing w:before="3" w:line="240" w:lineRule="auto"/>
              <w:ind w:left="88" w:right="78"/>
              <w:rPr>
                <w:rFonts w:ascii="Times New Roman" w:hAnsi="Times New Roman" w:cs="Times New Roman" w:eastAsiaTheme="minorEastAsia"/>
                <w:sz w:val="24"/>
                <w:szCs w:val="24"/>
                <w:lang w:val="en-US"/>
              </w:rPr>
            </w:pPr>
            <w:r>
              <w:rPr>
                <w:rFonts w:ascii="Times New Roman" w:hAnsi="Times New Roman" w:cs="Times New Roman" w:eastAsiaTheme="minorEastAsia"/>
                <w:sz w:val="24"/>
                <w:szCs w:val="24"/>
                <w:lang w:val="en-US"/>
              </w:rPr>
              <w:t>561997.9651</w:t>
            </w:r>
          </w:p>
        </w:tc>
        <w:tc>
          <w:tcPr>
            <w:tcW w:w="1044" w:type="dxa"/>
            <w:vAlign w:val="center"/>
          </w:tcPr>
          <w:p>
            <w:pPr>
              <w:pStyle w:val="57"/>
              <w:spacing w:before="3" w:line="240" w:lineRule="auto"/>
              <w:ind w:right="78"/>
              <w:rPr>
                <w:rFonts w:ascii="Times New Roman" w:hAnsi="Times New Roman" w:cs="Times New Roman" w:eastAsiaTheme="minorEastAsia"/>
                <w:sz w:val="24"/>
                <w:szCs w:val="24"/>
                <w:lang w:val="en-US"/>
              </w:rPr>
            </w:pPr>
            <w:r>
              <w:rPr>
                <w:rFonts w:ascii="Times New Roman" w:hAnsi="Times New Roman" w:cs="Times New Roman" w:eastAsiaTheme="minorEastAsia"/>
                <w:sz w:val="24"/>
                <w:szCs w:val="24"/>
                <w:lang w:val="en-US"/>
              </w:rPr>
              <w:t>420</w:t>
            </w:r>
          </w:p>
        </w:tc>
        <w:tc>
          <w:tcPr>
            <w:tcW w:w="758" w:type="dxa"/>
            <w:vAlign w:val="center"/>
          </w:tcPr>
          <w:p>
            <w:pPr>
              <w:pStyle w:val="57"/>
              <w:spacing w:before="3" w:line="240" w:lineRule="auto"/>
              <w:ind w:left="88" w:right="78" w:firstLine="480"/>
              <w:rPr>
                <w:rFonts w:ascii="Times New Roman" w:hAnsi="Times New Roman" w:cs="Times New Roman" w:eastAsiaTheme="minorEastAsia"/>
                <w:sz w:val="24"/>
                <w:szCs w:val="24"/>
                <w:lang w:val="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92"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pStyle w:val="57"/>
              <w:spacing w:before="3" w:line="240" w:lineRule="auto"/>
              <w:ind w:right="78"/>
              <w:rPr>
                <w:rFonts w:ascii="Times New Roman" w:hAnsi="Times New Roman" w:cs="Times New Roman" w:eastAsiaTheme="minorEastAsia"/>
                <w:sz w:val="24"/>
                <w:szCs w:val="24"/>
                <w:lang w:val="en-US"/>
              </w:rPr>
            </w:pPr>
            <w:r>
              <w:rPr>
                <w:rFonts w:hint="eastAsia" w:ascii="Times New Roman" w:hAnsi="Times New Roman" w:cs="Times New Roman" w:eastAsiaTheme="minorEastAsia"/>
                <w:sz w:val="24"/>
                <w:szCs w:val="24"/>
                <w:lang w:val="en-US"/>
              </w:rPr>
              <w:t>2</w:t>
            </w:r>
          </w:p>
        </w:tc>
        <w:tc>
          <w:tcPr>
            <w:tcW w:w="554" w:type="dxa"/>
            <w:tcBorders>
              <w:left w:val="single" w:color="auto" w:sz="4" w:space="0"/>
            </w:tcBorders>
            <w:vAlign w:val="center"/>
          </w:tcPr>
          <w:p>
            <w:pPr>
              <w:pStyle w:val="57"/>
              <w:spacing w:before="3" w:line="240" w:lineRule="auto"/>
              <w:ind w:left="88" w:right="78"/>
              <w:rPr>
                <w:rFonts w:ascii="Times New Roman" w:hAnsi="Times New Roman" w:cs="Times New Roman" w:eastAsiaTheme="minorEastAsia"/>
                <w:sz w:val="24"/>
                <w:szCs w:val="24"/>
                <w:lang w:val="en-US"/>
              </w:rPr>
            </w:pPr>
            <w:r>
              <w:rPr>
                <w:rFonts w:ascii="Times New Roman" w:hAnsi="Times New Roman" w:cs="Times New Roman" w:eastAsiaTheme="minorEastAsia"/>
                <w:sz w:val="24"/>
                <w:szCs w:val="24"/>
                <w:lang w:val="en-US"/>
              </w:rPr>
              <w:t>泗县</w:t>
            </w:r>
          </w:p>
        </w:tc>
        <w:tc>
          <w:tcPr>
            <w:tcW w:w="823" w:type="dxa"/>
            <w:vAlign w:val="center"/>
          </w:tcPr>
          <w:p>
            <w:pPr>
              <w:pStyle w:val="57"/>
              <w:spacing w:before="3" w:line="240" w:lineRule="auto"/>
              <w:ind w:left="88" w:right="78"/>
              <w:rPr>
                <w:rFonts w:ascii="Times New Roman" w:hAnsi="Times New Roman" w:cs="Times New Roman" w:eastAsiaTheme="minorEastAsia"/>
                <w:sz w:val="24"/>
                <w:szCs w:val="24"/>
                <w:lang w:val="en-US"/>
              </w:rPr>
            </w:pPr>
            <w:r>
              <w:rPr>
                <w:rFonts w:hint="eastAsia" w:ascii="Times New Roman" w:hAnsi="Times New Roman" w:cs="Times New Roman" w:eastAsiaTheme="minorEastAsia"/>
                <w:sz w:val="24"/>
                <w:szCs w:val="24"/>
                <w:lang w:val="en-US"/>
              </w:rPr>
              <w:t>泗城镇</w:t>
            </w:r>
          </w:p>
        </w:tc>
        <w:tc>
          <w:tcPr>
            <w:tcW w:w="1261" w:type="dxa"/>
            <w:vAlign w:val="center"/>
          </w:tcPr>
          <w:p>
            <w:pPr>
              <w:pStyle w:val="57"/>
              <w:spacing w:before="3" w:line="240" w:lineRule="auto"/>
              <w:ind w:left="88" w:right="78"/>
              <w:rPr>
                <w:rFonts w:ascii="Times New Roman" w:hAnsi="Times New Roman" w:cs="Times New Roman" w:eastAsiaTheme="minorEastAsia"/>
                <w:sz w:val="24"/>
                <w:szCs w:val="24"/>
                <w:lang w:val="en-US"/>
              </w:rPr>
            </w:pPr>
            <w:r>
              <w:rPr>
                <w:rFonts w:hint="eastAsia" w:ascii="Times New Roman" w:hAnsi="Times New Roman" w:cs="Times New Roman" w:eastAsiaTheme="minorEastAsia"/>
                <w:sz w:val="24"/>
                <w:szCs w:val="24"/>
                <w:lang w:val="en-US"/>
              </w:rPr>
              <w:t>孙圩闸</w:t>
            </w:r>
          </w:p>
        </w:tc>
        <w:tc>
          <w:tcPr>
            <w:tcW w:w="1436" w:type="dxa"/>
            <w:vAlign w:val="center"/>
          </w:tcPr>
          <w:p>
            <w:pPr>
              <w:pStyle w:val="57"/>
              <w:spacing w:before="3" w:line="240" w:lineRule="auto"/>
              <w:ind w:left="88" w:right="78"/>
              <w:rPr>
                <w:rFonts w:ascii="Times New Roman" w:hAnsi="Times New Roman" w:cs="Times New Roman" w:eastAsiaTheme="minorEastAsia"/>
                <w:sz w:val="24"/>
                <w:szCs w:val="24"/>
                <w:lang w:val="en-US"/>
              </w:rPr>
            </w:pPr>
            <w:r>
              <w:rPr>
                <w:rFonts w:hint="eastAsia" w:ascii="Times New Roman" w:hAnsi="Times New Roman" w:cs="Times New Roman" w:eastAsiaTheme="minorEastAsia"/>
                <w:sz w:val="24"/>
                <w:szCs w:val="24"/>
                <w:lang w:val="en-US"/>
              </w:rPr>
              <w:t>3705519.899</w:t>
            </w:r>
          </w:p>
        </w:tc>
        <w:tc>
          <w:tcPr>
            <w:tcW w:w="1436" w:type="dxa"/>
            <w:vAlign w:val="center"/>
          </w:tcPr>
          <w:p>
            <w:pPr>
              <w:pStyle w:val="57"/>
              <w:spacing w:before="3" w:line="240" w:lineRule="auto"/>
              <w:ind w:left="88" w:right="78"/>
              <w:rPr>
                <w:rFonts w:ascii="Times New Roman" w:hAnsi="Times New Roman" w:cs="Times New Roman" w:eastAsiaTheme="minorEastAsia"/>
                <w:sz w:val="24"/>
                <w:szCs w:val="24"/>
                <w:lang w:val="en-US"/>
              </w:rPr>
            </w:pPr>
            <w:r>
              <w:rPr>
                <w:rFonts w:hint="eastAsia" w:ascii="Times New Roman" w:hAnsi="Times New Roman" w:cs="Times New Roman" w:eastAsiaTheme="minorEastAsia"/>
                <w:sz w:val="24"/>
                <w:szCs w:val="24"/>
                <w:lang w:val="en-US"/>
              </w:rPr>
              <w:t>577630.241</w:t>
            </w:r>
          </w:p>
        </w:tc>
        <w:tc>
          <w:tcPr>
            <w:tcW w:w="1044" w:type="dxa"/>
            <w:vAlign w:val="center"/>
          </w:tcPr>
          <w:p>
            <w:pPr>
              <w:pStyle w:val="57"/>
              <w:spacing w:before="3" w:line="240" w:lineRule="auto"/>
              <w:ind w:right="78"/>
              <w:rPr>
                <w:rFonts w:ascii="Times New Roman" w:hAnsi="Times New Roman" w:cs="Times New Roman" w:eastAsiaTheme="minorEastAsia"/>
                <w:sz w:val="24"/>
                <w:szCs w:val="24"/>
                <w:lang w:val="en-US"/>
              </w:rPr>
            </w:pPr>
            <w:r>
              <w:rPr>
                <w:rFonts w:hint="eastAsia" w:ascii="Times New Roman" w:hAnsi="Times New Roman" w:cs="Times New Roman" w:eastAsiaTheme="minorEastAsia"/>
                <w:sz w:val="24"/>
                <w:szCs w:val="24"/>
                <w:lang w:val="en-US"/>
              </w:rPr>
              <w:t>420</w:t>
            </w:r>
          </w:p>
        </w:tc>
        <w:tc>
          <w:tcPr>
            <w:tcW w:w="758" w:type="dxa"/>
            <w:vAlign w:val="center"/>
          </w:tcPr>
          <w:p>
            <w:pPr>
              <w:pStyle w:val="57"/>
              <w:spacing w:before="3" w:line="240" w:lineRule="auto"/>
              <w:ind w:left="88" w:right="78" w:firstLine="480"/>
              <w:rPr>
                <w:rFonts w:ascii="Times New Roman" w:hAnsi="Times New Roman" w:cs="Times New Roman" w:eastAsiaTheme="minorEastAsia"/>
                <w:sz w:val="24"/>
                <w:szCs w:val="24"/>
                <w:lang w:val="en-US"/>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55" w:hRule="atLeast"/>
          <w:jc w:val="center"/>
        </w:trPr>
        <w:tc>
          <w:tcPr>
            <w:tcW w:w="749" w:type="dxa"/>
            <w:tcBorders>
              <w:top w:val="single" w:color="auto" w:sz="4" w:space="0"/>
              <w:left w:val="single" w:color="auto" w:sz="4" w:space="0"/>
              <w:bottom w:val="single" w:color="auto" w:sz="4" w:space="0"/>
              <w:right w:val="single" w:color="auto" w:sz="4" w:space="0"/>
            </w:tcBorders>
            <w:vAlign w:val="center"/>
          </w:tcPr>
          <w:p>
            <w:pPr>
              <w:pStyle w:val="57"/>
              <w:spacing w:before="3" w:line="240" w:lineRule="auto"/>
              <w:ind w:left="88" w:right="78"/>
              <w:rPr>
                <w:rFonts w:ascii="Times New Roman" w:hAnsi="Times New Roman" w:cs="Times New Roman" w:eastAsiaTheme="minorEastAsia"/>
                <w:b/>
                <w:bCs/>
                <w:sz w:val="24"/>
                <w:szCs w:val="24"/>
                <w:lang w:val="en-US"/>
              </w:rPr>
            </w:pPr>
            <w:r>
              <w:rPr>
                <w:rFonts w:ascii="Times New Roman" w:hAnsi="Times New Roman" w:cs="Times New Roman" w:eastAsiaTheme="minorEastAsia"/>
                <w:b/>
                <w:bCs/>
                <w:sz w:val="24"/>
                <w:szCs w:val="24"/>
                <w:lang w:val="en-US"/>
              </w:rPr>
              <w:t>合计</w:t>
            </w:r>
          </w:p>
        </w:tc>
        <w:tc>
          <w:tcPr>
            <w:tcW w:w="554" w:type="dxa"/>
            <w:tcBorders>
              <w:left w:val="single" w:color="auto" w:sz="4" w:space="0"/>
            </w:tcBorders>
            <w:vAlign w:val="center"/>
          </w:tcPr>
          <w:p>
            <w:pPr>
              <w:pStyle w:val="57"/>
              <w:spacing w:before="3" w:line="240" w:lineRule="auto"/>
              <w:ind w:left="88" w:right="78" w:firstLine="482"/>
              <w:rPr>
                <w:rFonts w:ascii="Times New Roman" w:hAnsi="Times New Roman" w:cs="Times New Roman" w:eastAsiaTheme="minorEastAsia"/>
                <w:b/>
                <w:bCs/>
                <w:sz w:val="24"/>
                <w:szCs w:val="24"/>
                <w:lang w:val="en-US"/>
              </w:rPr>
            </w:pPr>
          </w:p>
        </w:tc>
        <w:tc>
          <w:tcPr>
            <w:tcW w:w="823" w:type="dxa"/>
            <w:vAlign w:val="center"/>
          </w:tcPr>
          <w:p>
            <w:pPr>
              <w:pStyle w:val="57"/>
              <w:spacing w:before="3" w:line="240" w:lineRule="auto"/>
              <w:ind w:left="88" w:right="78" w:firstLine="482"/>
              <w:rPr>
                <w:rFonts w:ascii="Times New Roman" w:hAnsi="Times New Roman" w:cs="Times New Roman" w:eastAsiaTheme="minorEastAsia"/>
                <w:b/>
                <w:bCs/>
                <w:sz w:val="24"/>
                <w:szCs w:val="24"/>
                <w:lang w:val="en-US"/>
              </w:rPr>
            </w:pPr>
          </w:p>
        </w:tc>
        <w:tc>
          <w:tcPr>
            <w:tcW w:w="1261" w:type="dxa"/>
            <w:vAlign w:val="center"/>
          </w:tcPr>
          <w:p>
            <w:pPr>
              <w:pStyle w:val="57"/>
              <w:spacing w:before="3" w:line="240" w:lineRule="auto"/>
              <w:ind w:left="88" w:right="78" w:firstLine="482"/>
              <w:rPr>
                <w:rFonts w:ascii="Times New Roman" w:hAnsi="Times New Roman" w:cs="Times New Roman" w:eastAsiaTheme="minorEastAsia"/>
                <w:b/>
                <w:bCs/>
                <w:sz w:val="24"/>
                <w:szCs w:val="24"/>
                <w:lang w:val="en-US"/>
              </w:rPr>
            </w:pPr>
          </w:p>
        </w:tc>
        <w:tc>
          <w:tcPr>
            <w:tcW w:w="1436" w:type="dxa"/>
            <w:vAlign w:val="center"/>
          </w:tcPr>
          <w:p>
            <w:pPr>
              <w:pStyle w:val="57"/>
              <w:spacing w:before="3" w:line="240" w:lineRule="auto"/>
              <w:ind w:left="88" w:right="78" w:firstLine="482"/>
              <w:rPr>
                <w:rFonts w:ascii="Times New Roman" w:hAnsi="Times New Roman" w:cs="Times New Roman" w:eastAsiaTheme="minorEastAsia"/>
                <w:b/>
                <w:bCs/>
                <w:sz w:val="24"/>
                <w:szCs w:val="24"/>
                <w:lang w:val="en-US"/>
              </w:rPr>
            </w:pPr>
          </w:p>
        </w:tc>
        <w:tc>
          <w:tcPr>
            <w:tcW w:w="1436" w:type="dxa"/>
            <w:vAlign w:val="center"/>
          </w:tcPr>
          <w:p>
            <w:pPr>
              <w:pStyle w:val="57"/>
              <w:spacing w:before="3" w:line="240" w:lineRule="auto"/>
              <w:ind w:left="88" w:right="78" w:firstLine="482"/>
              <w:rPr>
                <w:rFonts w:ascii="Times New Roman" w:hAnsi="Times New Roman" w:cs="Times New Roman" w:eastAsiaTheme="minorEastAsia"/>
                <w:b/>
                <w:bCs/>
                <w:sz w:val="24"/>
                <w:szCs w:val="24"/>
                <w:lang w:val="en-US"/>
              </w:rPr>
            </w:pPr>
          </w:p>
        </w:tc>
        <w:tc>
          <w:tcPr>
            <w:tcW w:w="1044" w:type="dxa"/>
            <w:vAlign w:val="center"/>
          </w:tcPr>
          <w:p>
            <w:pPr>
              <w:pStyle w:val="57"/>
              <w:spacing w:before="3" w:line="240" w:lineRule="auto"/>
              <w:ind w:right="78"/>
              <w:rPr>
                <w:rFonts w:ascii="Times New Roman" w:hAnsi="Times New Roman" w:cs="Times New Roman" w:eastAsiaTheme="minorEastAsia"/>
                <w:b/>
                <w:bCs/>
                <w:sz w:val="24"/>
                <w:szCs w:val="24"/>
                <w:lang w:val="en-US"/>
              </w:rPr>
            </w:pPr>
            <w:r>
              <w:rPr>
                <w:rFonts w:hint="eastAsia" w:ascii="Times New Roman" w:hAnsi="Times New Roman" w:cs="Times New Roman" w:eastAsiaTheme="minorEastAsia"/>
                <w:b/>
                <w:bCs/>
                <w:sz w:val="24"/>
                <w:szCs w:val="24"/>
                <w:lang w:val="en-US"/>
              </w:rPr>
              <w:t>840</w:t>
            </w:r>
          </w:p>
        </w:tc>
        <w:tc>
          <w:tcPr>
            <w:tcW w:w="758" w:type="dxa"/>
            <w:vAlign w:val="center"/>
          </w:tcPr>
          <w:p>
            <w:pPr>
              <w:pStyle w:val="57"/>
              <w:spacing w:before="3" w:line="240" w:lineRule="auto"/>
              <w:ind w:left="88" w:right="78" w:firstLine="482"/>
              <w:rPr>
                <w:rFonts w:ascii="Times New Roman" w:hAnsi="Times New Roman" w:cs="Times New Roman" w:eastAsiaTheme="minorEastAsia"/>
                <w:b/>
                <w:bCs/>
                <w:sz w:val="24"/>
                <w:szCs w:val="24"/>
                <w:lang w:val="en-US"/>
              </w:rPr>
            </w:pPr>
          </w:p>
        </w:tc>
      </w:tr>
    </w:tbl>
    <w:p>
      <w:pPr>
        <w:spacing w:before="156" w:beforeLines="50" w:line="360" w:lineRule="auto"/>
        <w:ind w:firstLine="560" w:firstLineChars="200"/>
        <w:jc w:val="left"/>
        <w:rPr>
          <w:rFonts w:eastAsiaTheme="minorEastAsia"/>
          <w:sz w:val="28"/>
          <w:szCs w:val="28"/>
        </w:rPr>
      </w:pPr>
    </w:p>
    <w:p>
      <w:pPr>
        <w:spacing w:before="156" w:beforeLines="50" w:line="360" w:lineRule="auto"/>
        <w:jc w:val="left"/>
        <w:rPr>
          <w:sz w:val="24"/>
        </w:rPr>
        <w:sectPr>
          <w:headerReference r:id="rId14" w:type="first"/>
          <w:footerReference r:id="rId16" w:type="first"/>
          <w:headerReference r:id="rId13" w:type="even"/>
          <w:footerReference r:id="rId15" w:type="even"/>
          <w:type w:val="continuous"/>
          <w:pgSz w:w="11906" w:h="16838"/>
          <w:pgMar w:top="1440" w:right="1797" w:bottom="1440" w:left="1797" w:header="227" w:footer="1077" w:gutter="0"/>
          <w:cols w:space="425" w:num="1"/>
          <w:docGrid w:type="lines" w:linePitch="312" w:charSpace="0"/>
        </w:sectPr>
      </w:pPr>
    </w:p>
    <w:p>
      <w:pPr>
        <w:spacing w:line="360" w:lineRule="auto"/>
        <w:jc w:val="center"/>
        <w:rPr>
          <w:b/>
          <w:bCs/>
          <w:sz w:val="24"/>
        </w:rPr>
      </w:pPr>
      <w:r>
        <w:drawing>
          <wp:inline distT="0" distB="0" distL="0" distR="0">
            <wp:extent cx="8505825" cy="4924425"/>
            <wp:effectExtent l="0" t="0" r="9525" b="952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3"/>
                    <a:stretch>
                      <a:fillRect/>
                    </a:stretch>
                  </pic:blipFill>
                  <pic:spPr>
                    <a:xfrm>
                      <a:off x="0" y="0"/>
                      <a:ext cx="8501357" cy="4921838"/>
                    </a:xfrm>
                    <a:prstGeom prst="rect">
                      <a:avLst/>
                    </a:prstGeom>
                  </pic:spPr>
                </pic:pic>
              </a:graphicData>
            </a:graphic>
          </wp:inline>
        </w:drawing>
      </w:r>
    </w:p>
    <w:p>
      <w:pPr>
        <w:spacing w:line="360" w:lineRule="auto"/>
        <w:jc w:val="center"/>
        <w:rPr>
          <w:b/>
          <w:bCs/>
          <w:sz w:val="24"/>
        </w:rPr>
      </w:pPr>
      <w:r>
        <w:rPr>
          <w:b/>
          <w:bCs/>
          <w:sz w:val="24"/>
        </w:rPr>
        <w:t>图2-1</w:t>
      </w:r>
      <w:r>
        <w:rPr>
          <w:rFonts w:hint="eastAsia"/>
          <w:b/>
          <w:bCs/>
          <w:sz w:val="24"/>
        </w:rPr>
        <w:t xml:space="preserve">  </w:t>
      </w:r>
      <w:r>
        <w:rPr>
          <w:b/>
          <w:bCs/>
          <w:sz w:val="24"/>
        </w:rPr>
        <w:tab/>
      </w:r>
      <w:r>
        <w:rPr>
          <w:b/>
          <w:bCs/>
          <w:sz w:val="24"/>
        </w:rPr>
        <w:t>小汴河</w:t>
      </w:r>
      <w:r>
        <w:rPr>
          <w:rFonts w:hint="eastAsia"/>
          <w:b/>
          <w:bCs/>
          <w:sz w:val="24"/>
        </w:rPr>
        <w:t>主要支流水系</w:t>
      </w:r>
      <w:r>
        <w:rPr>
          <w:b/>
          <w:bCs/>
          <w:sz w:val="24"/>
        </w:rPr>
        <w:t>图</w:t>
      </w:r>
    </w:p>
    <w:p>
      <w:pPr>
        <w:pStyle w:val="25"/>
        <w:spacing w:before="156" w:after="156"/>
        <w:ind w:left="0" w:leftChars="0"/>
        <w:rPr>
          <w:color w:val="FF0000"/>
        </w:rPr>
        <w:sectPr>
          <w:footerReference r:id="rId17" w:type="default"/>
          <w:pgSz w:w="16838" w:h="11906" w:orient="landscape"/>
          <w:pgMar w:top="1797" w:right="1440" w:bottom="1797" w:left="1440" w:header="567" w:footer="1417" w:gutter="0"/>
          <w:cols w:space="425" w:num="1"/>
          <w:docGrid w:type="lines" w:linePitch="312" w:charSpace="0"/>
        </w:sectPr>
      </w:pPr>
    </w:p>
    <w:p>
      <w:pPr>
        <w:pStyle w:val="25"/>
        <w:spacing w:before="156" w:after="156"/>
        <w:ind w:left="0" w:leftChars="0"/>
      </w:pPr>
      <w:bookmarkStart w:id="53" w:name="_Toc84536510"/>
      <w:r>
        <w:rPr>
          <w:rFonts w:hint="eastAsia"/>
        </w:rPr>
        <w:t>2.1.3 跨（穿）河道线路</w:t>
      </w:r>
      <w:bookmarkEnd w:id="53"/>
    </w:p>
    <w:p>
      <w:pPr>
        <w:spacing w:line="360" w:lineRule="auto"/>
        <w:ind w:firstLine="560" w:firstLineChars="200"/>
        <w:rPr>
          <w:rFonts w:eastAsiaTheme="minorEastAsia"/>
          <w:sz w:val="28"/>
          <w:szCs w:val="28"/>
        </w:rPr>
      </w:pPr>
      <w:r>
        <w:rPr>
          <w:rFonts w:eastAsiaTheme="minorEastAsia"/>
          <w:sz w:val="28"/>
          <w:szCs w:val="28"/>
        </w:rPr>
        <w:t>主要包括桥梁、水上跨河电缆、水下过河管道和地下涵等。根据统计，跨（穿）</w:t>
      </w:r>
      <w:r>
        <w:rPr>
          <w:rFonts w:hint="eastAsia" w:eastAsiaTheme="minorEastAsia"/>
          <w:sz w:val="28"/>
          <w:szCs w:val="28"/>
        </w:rPr>
        <w:t>小汴河</w:t>
      </w:r>
      <w:r>
        <w:rPr>
          <w:rFonts w:eastAsiaTheme="minorEastAsia"/>
          <w:sz w:val="28"/>
          <w:szCs w:val="28"/>
        </w:rPr>
        <w:t>桥梁</w:t>
      </w:r>
      <w:r>
        <w:rPr>
          <w:rFonts w:hint="eastAsia" w:eastAsiaTheme="minorEastAsia"/>
          <w:sz w:val="28"/>
          <w:szCs w:val="28"/>
        </w:rPr>
        <w:t>47</w:t>
      </w:r>
      <w:r>
        <w:rPr>
          <w:rFonts w:eastAsiaTheme="minorEastAsia"/>
          <w:sz w:val="28"/>
          <w:szCs w:val="28"/>
        </w:rPr>
        <w:t>处</w:t>
      </w:r>
      <w:r>
        <w:rPr>
          <w:rFonts w:hint="eastAsia" w:eastAsiaTheme="minorEastAsia"/>
          <w:sz w:val="28"/>
          <w:szCs w:val="28"/>
        </w:rPr>
        <w:t>，</w:t>
      </w:r>
      <w:r>
        <w:rPr>
          <w:rFonts w:eastAsiaTheme="minorEastAsia"/>
          <w:sz w:val="28"/>
          <w:szCs w:val="28"/>
        </w:rPr>
        <w:t>占用岸线长度为</w:t>
      </w:r>
      <w:r>
        <w:rPr>
          <w:rFonts w:hint="eastAsia" w:eastAsiaTheme="minorEastAsia"/>
          <w:sz w:val="28"/>
          <w:szCs w:val="28"/>
        </w:rPr>
        <w:t xml:space="preserve">12.88 </w:t>
      </w:r>
      <w:r>
        <w:rPr>
          <w:rFonts w:eastAsiaTheme="minorEastAsia"/>
          <w:sz w:val="28"/>
          <w:szCs w:val="28"/>
        </w:rPr>
        <w:t>km，占</w:t>
      </w:r>
      <w:r>
        <w:rPr>
          <w:rFonts w:hint="eastAsia" w:eastAsiaTheme="minorEastAsia"/>
          <w:sz w:val="28"/>
          <w:szCs w:val="28"/>
        </w:rPr>
        <w:t>小汴河</w:t>
      </w:r>
      <w:r>
        <w:rPr>
          <w:rFonts w:eastAsiaTheme="minorEastAsia"/>
          <w:sz w:val="28"/>
          <w:szCs w:val="28"/>
        </w:rPr>
        <w:t>岸线长度的</w:t>
      </w:r>
      <w:r>
        <w:rPr>
          <w:rFonts w:hint="eastAsia" w:eastAsiaTheme="minorEastAsia"/>
          <w:sz w:val="28"/>
          <w:szCs w:val="28"/>
        </w:rPr>
        <w:t>22.27</w:t>
      </w:r>
      <w:r>
        <w:rPr>
          <w:rFonts w:eastAsiaTheme="minorEastAsia"/>
          <w:sz w:val="28"/>
          <w:szCs w:val="28"/>
        </w:rPr>
        <w:t>%。</w:t>
      </w:r>
      <w:r>
        <w:rPr>
          <w:rFonts w:hint="eastAsia" w:eastAsiaTheme="minorEastAsia"/>
          <w:sz w:val="28"/>
          <w:szCs w:val="28"/>
        </w:rPr>
        <w:t>河道</w:t>
      </w:r>
      <w:r>
        <w:rPr>
          <w:rFonts w:eastAsiaTheme="minorEastAsia"/>
          <w:sz w:val="28"/>
          <w:szCs w:val="28"/>
        </w:rPr>
        <w:t>桥梁工程名录及位置见表2</w:t>
      </w:r>
      <w:r>
        <w:rPr>
          <w:rFonts w:hint="eastAsia" w:eastAsiaTheme="minorEastAsia"/>
          <w:sz w:val="28"/>
          <w:szCs w:val="28"/>
        </w:rPr>
        <w:t>-3</w:t>
      </w:r>
      <w:r>
        <w:rPr>
          <w:rFonts w:eastAsiaTheme="minorEastAsia"/>
          <w:sz w:val="28"/>
          <w:szCs w:val="28"/>
        </w:rPr>
        <w:t>。</w:t>
      </w:r>
    </w:p>
    <w:p>
      <w:pPr>
        <w:spacing w:line="360" w:lineRule="auto"/>
        <w:jc w:val="center"/>
        <w:rPr>
          <w:b/>
          <w:bCs/>
          <w:sz w:val="24"/>
        </w:rPr>
      </w:pPr>
      <w:r>
        <w:rPr>
          <w:rFonts w:hint="eastAsia"/>
          <w:b/>
          <w:bCs/>
          <w:sz w:val="24"/>
        </w:rPr>
        <w:t>表2-3  小汴河现状水利工程名录及位置统计表</w:t>
      </w:r>
    </w:p>
    <w:tbl>
      <w:tblPr>
        <w:tblStyle w:val="28"/>
        <w:tblW w:w="83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66"/>
        <w:gridCol w:w="779"/>
        <w:gridCol w:w="1077"/>
        <w:gridCol w:w="1491"/>
        <w:gridCol w:w="1609"/>
        <w:gridCol w:w="1578"/>
        <w:gridCol w:w="11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jc w:val="center"/>
        </w:trPr>
        <w:tc>
          <w:tcPr>
            <w:tcW w:w="666" w:type="dxa"/>
            <w:vMerge w:val="restart"/>
            <w:vAlign w:val="center"/>
          </w:tcPr>
          <w:p>
            <w:pPr>
              <w:pStyle w:val="57"/>
              <w:spacing w:before="3" w:line="240" w:lineRule="auto"/>
              <w:ind w:left="88" w:right="78"/>
              <w:rPr>
                <w:rFonts w:ascii="Times New Roman" w:hAnsi="Times New Roman" w:cs="Times New Roman" w:eastAsiaTheme="minorEastAsia"/>
                <w:b/>
                <w:sz w:val="24"/>
                <w:szCs w:val="24"/>
                <w:lang w:val="en-US"/>
              </w:rPr>
            </w:pPr>
            <w:r>
              <w:rPr>
                <w:rFonts w:ascii="Times New Roman" w:hAnsi="Times New Roman" w:cs="Times New Roman" w:eastAsiaTheme="minorEastAsia"/>
                <w:b/>
                <w:sz w:val="24"/>
                <w:szCs w:val="24"/>
                <w:lang w:val="en-US"/>
              </w:rPr>
              <w:t>序号</w:t>
            </w:r>
          </w:p>
        </w:tc>
        <w:tc>
          <w:tcPr>
            <w:tcW w:w="779" w:type="dxa"/>
            <w:vMerge w:val="restart"/>
            <w:vAlign w:val="center"/>
          </w:tcPr>
          <w:p>
            <w:pPr>
              <w:pStyle w:val="57"/>
              <w:spacing w:before="3" w:line="240" w:lineRule="auto"/>
              <w:ind w:left="88" w:right="78"/>
              <w:rPr>
                <w:rFonts w:ascii="Times New Roman" w:hAnsi="Times New Roman" w:cs="Times New Roman" w:eastAsiaTheme="minorEastAsia"/>
                <w:b/>
                <w:sz w:val="24"/>
                <w:szCs w:val="24"/>
                <w:lang w:val="en-US"/>
              </w:rPr>
            </w:pPr>
            <w:r>
              <w:rPr>
                <w:rFonts w:ascii="Times New Roman" w:hAnsi="Times New Roman" w:cs="Times New Roman" w:eastAsiaTheme="minorEastAsia"/>
                <w:b/>
                <w:sz w:val="24"/>
                <w:szCs w:val="24"/>
                <w:lang w:val="en-US"/>
              </w:rPr>
              <w:t>县区</w:t>
            </w:r>
          </w:p>
        </w:tc>
        <w:tc>
          <w:tcPr>
            <w:tcW w:w="1077" w:type="dxa"/>
            <w:vMerge w:val="restart"/>
            <w:vAlign w:val="center"/>
          </w:tcPr>
          <w:p>
            <w:pPr>
              <w:pStyle w:val="57"/>
              <w:spacing w:before="3" w:line="240" w:lineRule="auto"/>
              <w:ind w:left="88" w:right="78"/>
              <w:rPr>
                <w:rFonts w:ascii="Times New Roman" w:hAnsi="Times New Roman" w:cs="Times New Roman" w:eastAsiaTheme="minorEastAsia"/>
                <w:b/>
                <w:sz w:val="24"/>
                <w:szCs w:val="24"/>
                <w:lang w:val="en-US"/>
              </w:rPr>
            </w:pPr>
            <w:r>
              <w:rPr>
                <w:rFonts w:ascii="Times New Roman" w:hAnsi="Times New Roman" w:cs="Times New Roman" w:eastAsiaTheme="minorEastAsia"/>
                <w:b/>
                <w:sz w:val="24"/>
                <w:szCs w:val="24"/>
                <w:lang w:val="en-US"/>
              </w:rPr>
              <w:t>乡镇</w:t>
            </w:r>
          </w:p>
        </w:tc>
        <w:tc>
          <w:tcPr>
            <w:tcW w:w="1491" w:type="dxa"/>
            <w:vMerge w:val="restart"/>
            <w:vAlign w:val="center"/>
          </w:tcPr>
          <w:p>
            <w:pPr>
              <w:pStyle w:val="57"/>
              <w:spacing w:before="3" w:line="240" w:lineRule="auto"/>
              <w:ind w:left="88" w:right="78"/>
              <w:rPr>
                <w:rFonts w:ascii="Times New Roman" w:hAnsi="Times New Roman" w:cs="Times New Roman" w:eastAsiaTheme="minorEastAsia"/>
                <w:b/>
                <w:sz w:val="24"/>
                <w:szCs w:val="24"/>
                <w:lang w:val="en-US"/>
              </w:rPr>
            </w:pPr>
            <w:r>
              <w:rPr>
                <w:rFonts w:ascii="Times New Roman" w:hAnsi="Times New Roman" w:cs="Times New Roman" w:eastAsiaTheme="minorEastAsia"/>
                <w:b/>
                <w:sz w:val="24"/>
                <w:szCs w:val="24"/>
                <w:lang w:val="en-US"/>
              </w:rPr>
              <w:t>名称</w:t>
            </w:r>
          </w:p>
        </w:tc>
        <w:tc>
          <w:tcPr>
            <w:tcW w:w="3187" w:type="dxa"/>
            <w:gridSpan w:val="2"/>
            <w:vAlign w:val="center"/>
          </w:tcPr>
          <w:p>
            <w:pPr>
              <w:pStyle w:val="57"/>
              <w:spacing w:before="3" w:line="240" w:lineRule="auto"/>
              <w:ind w:left="88" w:right="78"/>
              <w:rPr>
                <w:rFonts w:ascii="Times New Roman" w:hAnsi="Times New Roman" w:cs="Times New Roman" w:eastAsiaTheme="minorEastAsia"/>
                <w:b/>
                <w:sz w:val="24"/>
                <w:szCs w:val="24"/>
                <w:lang w:val="en-US"/>
              </w:rPr>
            </w:pPr>
            <w:r>
              <w:rPr>
                <w:rFonts w:ascii="Times New Roman" w:hAnsi="Times New Roman" w:cs="Times New Roman" w:eastAsiaTheme="minorEastAsia"/>
                <w:b/>
                <w:sz w:val="24"/>
                <w:szCs w:val="24"/>
                <w:lang w:val="en-US"/>
              </w:rPr>
              <w:t>坐标系</w:t>
            </w:r>
          </w:p>
        </w:tc>
        <w:tc>
          <w:tcPr>
            <w:tcW w:w="1122" w:type="dxa"/>
            <w:vMerge w:val="restart"/>
            <w:vAlign w:val="center"/>
          </w:tcPr>
          <w:p>
            <w:pPr>
              <w:pStyle w:val="57"/>
              <w:spacing w:before="3" w:line="240" w:lineRule="auto"/>
              <w:ind w:left="88" w:right="78"/>
              <w:rPr>
                <w:rFonts w:ascii="Times New Roman" w:hAnsi="Times New Roman" w:cs="Times New Roman" w:eastAsiaTheme="minorEastAsia"/>
                <w:b/>
                <w:sz w:val="24"/>
                <w:szCs w:val="24"/>
                <w:lang w:val="en-US"/>
              </w:rPr>
            </w:pPr>
            <w:r>
              <w:rPr>
                <w:rFonts w:ascii="Times New Roman" w:hAnsi="Times New Roman" w:cs="Times New Roman" w:eastAsiaTheme="minorEastAsia"/>
                <w:b/>
                <w:sz w:val="24"/>
                <w:szCs w:val="24"/>
                <w:lang w:val="en-US"/>
              </w:rPr>
              <w:t>占用岸线长度</w:t>
            </w:r>
          </w:p>
          <w:p>
            <w:pPr>
              <w:pStyle w:val="57"/>
              <w:spacing w:before="3" w:line="240" w:lineRule="auto"/>
              <w:ind w:left="88" w:right="78"/>
              <w:rPr>
                <w:rFonts w:ascii="Times New Roman" w:hAnsi="Times New Roman" w:cs="Times New Roman" w:eastAsiaTheme="minorEastAsia"/>
                <w:b/>
                <w:sz w:val="24"/>
                <w:szCs w:val="24"/>
                <w:lang w:val="en-US"/>
              </w:rPr>
            </w:pPr>
            <w:r>
              <w:rPr>
                <w:rFonts w:ascii="Times New Roman" w:hAnsi="Times New Roman" w:cs="Times New Roman" w:eastAsiaTheme="minorEastAsia"/>
                <w:b/>
                <w:sz w:val="24"/>
                <w:szCs w:val="24"/>
                <w:lang w:val="en-US"/>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340" w:hRule="atLeast"/>
          <w:tblHeader/>
          <w:jc w:val="center"/>
        </w:trPr>
        <w:tc>
          <w:tcPr>
            <w:tcW w:w="666" w:type="dxa"/>
            <w:vMerge w:val="continue"/>
            <w:vAlign w:val="center"/>
          </w:tcPr>
          <w:p>
            <w:pPr>
              <w:pStyle w:val="57"/>
              <w:spacing w:line="240" w:lineRule="auto"/>
              <w:ind w:left="91" w:right="79"/>
              <w:rPr>
                <w:rFonts w:ascii="仿宋" w:hAnsi="仿宋" w:eastAsia="仿宋" w:cs="仿宋"/>
                <w:sz w:val="24"/>
                <w:szCs w:val="24"/>
                <w:lang w:val="en-US"/>
              </w:rPr>
            </w:pPr>
          </w:p>
        </w:tc>
        <w:tc>
          <w:tcPr>
            <w:tcW w:w="779" w:type="dxa"/>
            <w:vMerge w:val="continue"/>
            <w:vAlign w:val="center"/>
          </w:tcPr>
          <w:p>
            <w:pPr>
              <w:pStyle w:val="57"/>
              <w:spacing w:line="240" w:lineRule="auto"/>
              <w:ind w:left="91" w:right="79"/>
              <w:rPr>
                <w:rFonts w:ascii="仿宋" w:hAnsi="仿宋" w:eastAsia="仿宋" w:cs="仿宋"/>
                <w:sz w:val="24"/>
                <w:szCs w:val="24"/>
                <w:lang w:val="en-US"/>
              </w:rPr>
            </w:pPr>
          </w:p>
        </w:tc>
        <w:tc>
          <w:tcPr>
            <w:tcW w:w="1077" w:type="dxa"/>
            <w:vMerge w:val="continue"/>
            <w:vAlign w:val="center"/>
          </w:tcPr>
          <w:p>
            <w:pPr>
              <w:pStyle w:val="57"/>
              <w:spacing w:line="240" w:lineRule="auto"/>
              <w:ind w:left="91" w:right="79"/>
              <w:rPr>
                <w:rFonts w:ascii="仿宋" w:hAnsi="仿宋" w:eastAsia="仿宋" w:cs="仿宋"/>
                <w:sz w:val="24"/>
                <w:szCs w:val="24"/>
                <w:lang w:val="en-US"/>
              </w:rPr>
            </w:pPr>
          </w:p>
        </w:tc>
        <w:tc>
          <w:tcPr>
            <w:tcW w:w="1491" w:type="dxa"/>
            <w:vMerge w:val="continue"/>
            <w:vAlign w:val="center"/>
          </w:tcPr>
          <w:p>
            <w:pPr>
              <w:pStyle w:val="57"/>
              <w:spacing w:line="240" w:lineRule="auto"/>
              <w:ind w:left="91" w:right="79"/>
              <w:rPr>
                <w:rFonts w:ascii="仿宋" w:hAnsi="仿宋" w:eastAsia="仿宋" w:cs="仿宋"/>
                <w:sz w:val="24"/>
                <w:szCs w:val="24"/>
                <w:lang w:val="en-US"/>
              </w:rPr>
            </w:pPr>
          </w:p>
        </w:tc>
        <w:tc>
          <w:tcPr>
            <w:tcW w:w="1609" w:type="dxa"/>
            <w:vAlign w:val="center"/>
          </w:tcPr>
          <w:p>
            <w:pPr>
              <w:pStyle w:val="57"/>
              <w:spacing w:line="240" w:lineRule="auto"/>
              <w:ind w:left="91" w:right="79"/>
              <w:rPr>
                <w:rFonts w:ascii="Times New Roman" w:hAnsi="Times New Roman" w:eastAsia="仿宋" w:cs="Times New Roman"/>
                <w:b/>
                <w:sz w:val="24"/>
                <w:szCs w:val="24"/>
                <w:lang w:val="en-US"/>
              </w:rPr>
            </w:pPr>
            <w:r>
              <w:rPr>
                <w:rFonts w:ascii="Times New Roman" w:hAnsi="Times New Roman" w:eastAsia="仿宋" w:cs="Times New Roman"/>
                <w:b/>
                <w:sz w:val="24"/>
                <w:szCs w:val="24"/>
                <w:lang w:val="en-US"/>
              </w:rPr>
              <w:t>X</w:t>
            </w:r>
          </w:p>
        </w:tc>
        <w:tc>
          <w:tcPr>
            <w:tcW w:w="1578" w:type="dxa"/>
            <w:vAlign w:val="center"/>
          </w:tcPr>
          <w:p>
            <w:pPr>
              <w:pStyle w:val="57"/>
              <w:spacing w:line="240" w:lineRule="auto"/>
              <w:ind w:left="91" w:right="79"/>
              <w:rPr>
                <w:rFonts w:ascii="Times New Roman" w:hAnsi="Times New Roman" w:eastAsia="仿宋" w:cs="Times New Roman"/>
                <w:b/>
                <w:sz w:val="24"/>
                <w:szCs w:val="24"/>
                <w:lang w:val="en-US"/>
              </w:rPr>
            </w:pPr>
            <w:r>
              <w:rPr>
                <w:rFonts w:ascii="Times New Roman" w:hAnsi="Times New Roman" w:eastAsia="仿宋" w:cs="Times New Roman"/>
                <w:b/>
                <w:sz w:val="24"/>
                <w:szCs w:val="24"/>
                <w:lang w:val="en-US"/>
              </w:rPr>
              <w:t>Y</w:t>
            </w:r>
          </w:p>
        </w:tc>
        <w:tc>
          <w:tcPr>
            <w:tcW w:w="1122" w:type="dxa"/>
            <w:vMerge w:val="continue"/>
            <w:vAlign w:val="center"/>
          </w:tcPr>
          <w:p>
            <w:pPr>
              <w:pStyle w:val="57"/>
              <w:spacing w:line="240" w:lineRule="auto"/>
              <w:ind w:left="91" w:right="79"/>
              <w:rPr>
                <w:rFonts w:ascii="仿宋" w:hAnsi="仿宋" w:eastAsia="仿宋" w:cs="仿宋"/>
                <w:sz w:val="24"/>
                <w:szCs w:val="24"/>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779" w:type="dxa"/>
            <w:vMerge w:val="restart"/>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泗县</w:t>
            </w:r>
          </w:p>
        </w:tc>
        <w:tc>
          <w:tcPr>
            <w:tcW w:w="1077"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长沟镇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077乡道桥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3710850.414</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562938.887</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长沟镇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小时家桥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3710659.511</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563799.145</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长沟镇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076乡道桥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3710518.199</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564395.068</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长沟镇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长沟村1桥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3710233.946</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565766.828</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长沟镇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长沟村2桥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3710141.910</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566017.083</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长沟镇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长沟村3桥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3709915.112</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566295.323</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长沟镇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053县道桥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3709764.112</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566460.413</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长沟镇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刘陈村桥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3709182.196</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567269.798</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长沟镇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谢庄桥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3709073.493</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567540.261</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长沟镇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徐明高速桥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3708830.912</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568169.171</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长沟镇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程庄1桥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3708610.947</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568715.934</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12</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长沟镇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程庄2桥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3708449.468</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569131.525</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13</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长沟镇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073乡道桥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3708289.703</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569572.386</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14</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周庄村1桥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3708025.376</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570316.384</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tcBorders>
              <w:bottom w:val="single" w:color="auto" w:sz="4" w:space="0"/>
            </w:tcBorders>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15</w:t>
            </w:r>
          </w:p>
        </w:tc>
        <w:tc>
          <w:tcPr>
            <w:tcW w:w="779" w:type="dxa"/>
            <w:vMerge w:val="continue"/>
            <w:tcBorders>
              <w:bottom w:val="single" w:color="auto" w:sz="4" w:space="0"/>
            </w:tcBorders>
            <w:vAlign w:val="center"/>
          </w:tcPr>
          <w:p>
            <w:pPr>
              <w:pStyle w:val="57"/>
              <w:spacing w:line="240" w:lineRule="auto"/>
              <w:ind w:left="91" w:right="79"/>
              <w:rPr>
                <w:rFonts w:ascii="Times New Roman" w:hAnsi="Times New Roman" w:cs="Times New Roman"/>
                <w:sz w:val="24"/>
                <w:szCs w:val="24"/>
                <w:lang w:val="en-US"/>
              </w:rPr>
            </w:pPr>
          </w:p>
        </w:tc>
        <w:tc>
          <w:tcPr>
            <w:tcW w:w="1077" w:type="dxa"/>
            <w:tcBorders>
              <w:bottom w:val="single" w:color="auto" w:sz="4" w:space="0"/>
            </w:tcBorders>
            <w:vAlign w:val="center"/>
          </w:tcPr>
          <w:p>
            <w:pPr>
              <w:jc w:val="center"/>
            </w:pPr>
            <w:r>
              <w:rPr>
                <w:rFonts w:hint="eastAsia"/>
                <w:color w:val="000000" w:themeColor="text1"/>
                <w:sz w:val="24"/>
                <w14:textFill>
                  <w14:solidFill>
                    <w14:schemeClr w14:val="tx1"/>
                  </w14:solidFill>
                </w14:textFill>
              </w:rPr>
              <w:t>泗城镇</w:t>
            </w:r>
          </w:p>
        </w:tc>
        <w:tc>
          <w:tcPr>
            <w:tcW w:w="1491" w:type="dxa"/>
            <w:tcBorders>
              <w:bottom w:val="single" w:color="auto" w:sz="4" w:space="0"/>
            </w:tcBorders>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周庄村2桥</w:t>
            </w:r>
          </w:p>
        </w:tc>
        <w:tc>
          <w:tcPr>
            <w:tcW w:w="1609" w:type="dxa"/>
            <w:tcBorders>
              <w:bottom w:val="single" w:color="auto" w:sz="4" w:space="0"/>
            </w:tcBorders>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3707915.990</w:t>
            </w:r>
          </w:p>
        </w:tc>
        <w:tc>
          <w:tcPr>
            <w:tcW w:w="1578" w:type="dxa"/>
            <w:tcBorders>
              <w:bottom w:val="single" w:color="auto" w:sz="4" w:space="0"/>
            </w:tcBorders>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570627.714</w:t>
            </w:r>
          </w:p>
        </w:tc>
        <w:tc>
          <w:tcPr>
            <w:tcW w:w="1122" w:type="dxa"/>
            <w:tcBorders>
              <w:bottom w:val="single" w:color="auto" w:sz="4" w:space="0"/>
            </w:tcBorders>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tcBorders>
              <w:top w:val="single" w:color="auto" w:sz="4" w:space="0"/>
            </w:tcBorders>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16</w:t>
            </w:r>
          </w:p>
        </w:tc>
        <w:tc>
          <w:tcPr>
            <w:tcW w:w="779" w:type="dxa"/>
            <w:vMerge w:val="continue"/>
            <w:tcBorders>
              <w:top w:val="single" w:color="auto" w:sz="4" w:space="0"/>
            </w:tcBorders>
            <w:vAlign w:val="center"/>
          </w:tcPr>
          <w:p>
            <w:pPr>
              <w:pStyle w:val="57"/>
              <w:spacing w:line="240" w:lineRule="auto"/>
              <w:ind w:left="91" w:right="79"/>
              <w:rPr>
                <w:rFonts w:ascii="Times New Roman" w:hAnsi="Times New Roman" w:cs="Times New Roman"/>
                <w:sz w:val="24"/>
                <w:szCs w:val="24"/>
                <w:lang w:val="en-US"/>
              </w:rPr>
            </w:pPr>
          </w:p>
        </w:tc>
        <w:tc>
          <w:tcPr>
            <w:tcW w:w="1077" w:type="dxa"/>
            <w:tcBorders>
              <w:top w:val="single" w:color="auto" w:sz="4" w:space="0"/>
            </w:tcBorders>
            <w:vAlign w:val="center"/>
          </w:tcPr>
          <w:p>
            <w:pPr>
              <w:jc w:val="center"/>
            </w:pPr>
            <w:r>
              <w:rPr>
                <w:rFonts w:hint="eastAsia"/>
                <w:color w:val="000000" w:themeColor="text1"/>
                <w:sz w:val="24"/>
                <w14:textFill>
                  <w14:solidFill>
                    <w14:schemeClr w14:val="tx1"/>
                  </w14:solidFill>
                </w14:textFill>
              </w:rPr>
              <w:t>泗城镇</w:t>
            </w:r>
          </w:p>
        </w:tc>
        <w:tc>
          <w:tcPr>
            <w:tcW w:w="1491" w:type="dxa"/>
            <w:tcBorders>
              <w:top w:val="single" w:color="auto" w:sz="4" w:space="0"/>
            </w:tcBorders>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大吴庄桥</w:t>
            </w:r>
          </w:p>
        </w:tc>
        <w:tc>
          <w:tcPr>
            <w:tcW w:w="1609" w:type="dxa"/>
            <w:tcBorders>
              <w:top w:val="single" w:color="auto" w:sz="4" w:space="0"/>
            </w:tcBorders>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3707460.392</w:t>
            </w:r>
          </w:p>
        </w:tc>
        <w:tc>
          <w:tcPr>
            <w:tcW w:w="1578" w:type="dxa"/>
            <w:tcBorders>
              <w:top w:val="single" w:color="auto" w:sz="4" w:space="0"/>
            </w:tcBorders>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571857.179</w:t>
            </w:r>
          </w:p>
        </w:tc>
        <w:tc>
          <w:tcPr>
            <w:tcW w:w="1122" w:type="dxa"/>
            <w:tcBorders>
              <w:top w:val="single" w:color="auto" w:sz="4" w:space="0"/>
            </w:tcBorders>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17</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庄庄桥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3707175.974</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572616.314</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18</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072乡道桥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3706905.713</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573379.687</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19</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陈尤桥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3706721.912</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573881.157</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20</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张陈桥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3706568.834</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574304.665</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21</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韩王庄桥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3706290.602</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575045.451</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关庙桥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3706127.451</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575481.226</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23</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板树孙1桥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3706033.213</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575749.860</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24</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板树孙2桥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3705825.488</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576312.733</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25</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墩前孙庄桥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3705613.181</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576853.127</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26</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义井村桥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3705513.026</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577290.492</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27</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孙圩子桥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3705519.899</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577630.241</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28</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陆李村1桥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3705485.521</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578217.248</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29</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G104小汴河大桥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3705472.921</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578421.357</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30</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陆李村2桥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3705463.622</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578598.276</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31</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陆李村3桥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3705429.340</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579360.638</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32</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070乡道桥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3705420.039</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580063.899</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33</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西二环路桥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3705585.139</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580429.136</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34</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梁园路桥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3705899.836</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580964.620</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35</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福康路桥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3706396.891</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581382.021</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480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36</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泗州大道桥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3706543.758</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581587.491</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忠诚街桥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3706673.680</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581843.121</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38</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学士路桥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3706787.330</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582071.162</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39</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北一环路桥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3706925.490</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582404.008</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40</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068乡道桥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3706699.264</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582578.884</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41</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虹乡路桥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3706773.601</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583016.532</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42</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东二环路桥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3707020.015</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583355.664</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43</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丹凤路桥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3707339.579</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583849.326</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44</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朝阳路桥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3707538.127</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584165.867</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45</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pPr>
            <w:r>
              <w:rPr>
                <w:rFonts w:hint="eastAsia"/>
                <w:color w:val="000000" w:themeColor="text1"/>
                <w:sz w:val="24"/>
                <w14:textFill>
                  <w14:solidFill>
                    <w14:schemeClr w14:val="tx1"/>
                  </w14:solidFill>
                </w14:textFill>
              </w:rPr>
              <w:t>泗城镇</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赤山路桥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3707763.059</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584517.672</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46</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jc w:val="center"/>
              <w:rPr>
                <w:color w:val="000000" w:themeColor="text1"/>
                <w14:textFill>
                  <w14:solidFill>
                    <w14:schemeClr w14:val="tx1"/>
                  </w14:solidFill>
                </w14:textFill>
              </w:rPr>
            </w:pPr>
            <w:r>
              <w:rPr>
                <w:color w:val="000000" w:themeColor="text1"/>
                <w:sz w:val="24"/>
                <w14:textFill>
                  <w14:solidFill>
                    <w14:schemeClr w14:val="tx1"/>
                  </w14:solidFill>
                </w14:textFill>
              </w:rPr>
              <w:t>开发区</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五里庙桥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3708180.740</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585163.088</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47</w:t>
            </w:r>
          </w:p>
        </w:tc>
        <w:tc>
          <w:tcPr>
            <w:tcW w:w="779" w:type="dxa"/>
            <w:vMerge w:val="continue"/>
            <w:vAlign w:val="center"/>
          </w:tcPr>
          <w:p>
            <w:pPr>
              <w:pStyle w:val="57"/>
              <w:spacing w:line="240" w:lineRule="auto"/>
              <w:ind w:left="91" w:right="79"/>
              <w:rPr>
                <w:rFonts w:ascii="Times New Roman" w:hAnsi="Times New Roman" w:cs="Times New Roman"/>
                <w:sz w:val="24"/>
                <w:szCs w:val="24"/>
                <w:lang w:val="en-US"/>
              </w:rPr>
            </w:pPr>
          </w:p>
        </w:tc>
        <w:tc>
          <w:tcPr>
            <w:tcW w:w="1077" w:type="dxa"/>
            <w:vAlign w:val="center"/>
          </w:tcPr>
          <w:p>
            <w:pPr>
              <w:pStyle w:val="57"/>
              <w:spacing w:line="240" w:lineRule="auto"/>
              <w:ind w:left="91" w:right="79"/>
              <w:rPr>
                <w:rFonts w:ascii="Times New Roman" w:hAnsi="Times New Roman" w:cs="Times New Roman"/>
                <w:color w:val="000000" w:themeColor="text1"/>
                <w:sz w:val="24"/>
                <w:szCs w:val="24"/>
                <w:lang w:val="en-US"/>
                <w14:textFill>
                  <w14:solidFill>
                    <w14:schemeClr w14:val="tx1"/>
                  </w14:solidFill>
                </w14:textFill>
              </w:rPr>
            </w:pPr>
            <w:r>
              <w:rPr>
                <w:rFonts w:ascii="Times New Roman" w:hAnsi="Times New Roman" w:cs="Times New Roman"/>
                <w:color w:val="000000" w:themeColor="text1"/>
                <w:sz w:val="24"/>
                <w:szCs w:val="24"/>
                <w:lang w:val="en-US"/>
                <w14:textFill>
                  <w14:solidFill>
                    <w14:schemeClr w14:val="tx1"/>
                  </w14:solidFill>
                </w14:textFill>
              </w:rPr>
              <w:t>开发区</w:t>
            </w:r>
          </w:p>
        </w:tc>
        <w:tc>
          <w:tcPr>
            <w:tcW w:w="1491"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十里井桥</w:t>
            </w:r>
          </w:p>
        </w:tc>
        <w:tc>
          <w:tcPr>
            <w:tcW w:w="1609"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3709228.314</w:t>
            </w:r>
          </w:p>
        </w:tc>
        <w:tc>
          <w:tcPr>
            <w:tcW w:w="1578"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586807.336</w:t>
            </w:r>
          </w:p>
        </w:tc>
        <w:tc>
          <w:tcPr>
            <w:tcW w:w="1122" w:type="dxa"/>
            <w:vAlign w:val="center"/>
          </w:tcPr>
          <w:p>
            <w:pPr>
              <w:pStyle w:val="57"/>
              <w:spacing w:line="240" w:lineRule="auto"/>
              <w:ind w:left="91" w:right="79"/>
              <w:rPr>
                <w:rFonts w:ascii="Times New Roman" w:hAnsi="Times New Roman" w:cs="Times New Roman"/>
                <w:sz w:val="24"/>
                <w:szCs w:val="24"/>
                <w:lang w:val="en-US"/>
              </w:rPr>
            </w:pPr>
            <w:r>
              <w:rPr>
                <w:rFonts w:ascii="Times New Roman" w:hAnsi="Times New Roman" w:cs="Times New Roman"/>
                <w:sz w:val="24"/>
                <w:szCs w:val="24"/>
                <w:lang w:val="en-US"/>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jc w:val="center"/>
        </w:trPr>
        <w:tc>
          <w:tcPr>
            <w:tcW w:w="666" w:type="dxa"/>
            <w:vAlign w:val="center"/>
          </w:tcPr>
          <w:p>
            <w:pPr>
              <w:pStyle w:val="57"/>
              <w:spacing w:line="240" w:lineRule="auto"/>
              <w:ind w:left="91" w:right="79"/>
              <w:rPr>
                <w:rFonts w:ascii="Times New Roman" w:hAnsi="Times New Roman" w:cs="Times New Roman"/>
                <w:b/>
                <w:bCs/>
                <w:sz w:val="24"/>
                <w:szCs w:val="24"/>
                <w:lang w:val="en-US"/>
              </w:rPr>
            </w:pPr>
            <w:r>
              <w:rPr>
                <w:rFonts w:ascii="Times New Roman" w:hAnsi="Times New Roman" w:cs="Times New Roman"/>
                <w:b/>
                <w:bCs/>
                <w:sz w:val="24"/>
                <w:szCs w:val="24"/>
                <w:lang w:val="en-US"/>
              </w:rPr>
              <w:t>合计</w:t>
            </w:r>
          </w:p>
        </w:tc>
        <w:tc>
          <w:tcPr>
            <w:tcW w:w="779" w:type="dxa"/>
            <w:vAlign w:val="center"/>
          </w:tcPr>
          <w:p>
            <w:pPr>
              <w:pStyle w:val="57"/>
              <w:spacing w:line="240" w:lineRule="auto"/>
              <w:ind w:left="91" w:right="79"/>
              <w:rPr>
                <w:rFonts w:ascii="Times New Roman" w:hAnsi="Times New Roman" w:cs="Times New Roman"/>
                <w:b/>
                <w:bCs/>
                <w:sz w:val="24"/>
                <w:szCs w:val="24"/>
                <w:lang w:val="en-US"/>
              </w:rPr>
            </w:pPr>
          </w:p>
        </w:tc>
        <w:tc>
          <w:tcPr>
            <w:tcW w:w="1077" w:type="dxa"/>
            <w:vAlign w:val="center"/>
          </w:tcPr>
          <w:p>
            <w:pPr>
              <w:pStyle w:val="57"/>
              <w:spacing w:line="240" w:lineRule="auto"/>
              <w:ind w:left="91" w:right="79"/>
              <w:rPr>
                <w:rFonts w:ascii="Times New Roman" w:hAnsi="Times New Roman" w:cs="Times New Roman"/>
                <w:b/>
                <w:bCs/>
                <w:sz w:val="24"/>
                <w:szCs w:val="24"/>
                <w:lang w:val="en-US"/>
              </w:rPr>
            </w:pPr>
          </w:p>
        </w:tc>
        <w:tc>
          <w:tcPr>
            <w:tcW w:w="1491" w:type="dxa"/>
            <w:vAlign w:val="center"/>
          </w:tcPr>
          <w:p>
            <w:pPr>
              <w:pStyle w:val="57"/>
              <w:spacing w:line="240" w:lineRule="auto"/>
              <w:ind w:left="91" w:right="79"/>
              <w:rPr>
                <w:rFonts w:ascii="Times New Roman" w:hAnsi="Times New Roman" w:cs="Times New Roman"/>
                <w:b/>
                <w:bCs/>
                <w:sz w:val="24"/>
                <w:szCs w:val="24"/>
                <w:lang w:val="en-US"/>
              </w:rPr>
            </w:pPr>
          </w:p>
        </w:tc>
        <w:tc>
          <w:tcPr>
            <w:tcW w:w="1609" w:type="dxa"/>
            <w:vAlign w:val="center"/>
          </w:tcPr>
          <w:p>
            <w:pPr>
              <w:pStyle w:val="57"/>
              <w:spacing w:line="240" w:lineRule="auto"/>
              <w:ind w:left="91" w:right="79"/>
              <w:rPr>
                <w:rFonts w:ascii="Times New Roman" w:hAnsi="Times New Roman" w:cs="Times New Roman"/>
                <w:b/>
                <w:sz w:val="24"/>
                <w:szCs w:val="24"/>
                <w:lang w:val="en-US"/>
              </w:rPr>
            </w:pPr>
          </w:p>
        </w:tc>
        <w:tc>
          <w:tcPr>
            <w:tcW w:w="1578" w:type="dxa"/>
            <w:vAlign w:val="center"/>
          </w:tcPr>
          <w:p>
            <w:pPr>
              <w:pStyle w:val="57"/>
              <w:spacing w:line="240" w:lineRule="auto"/>
              <w:ind w:left="91" w:right="79"/>
              <w:rPr>
                <w:rFonts w:ascii="Times New Roman" w:hAnsi="Times New Roman" w:cs="Times New Roman"/>
                <w:b/>
                <w:sz w:val="24"/>
                <w:szCs w:val="24"/>
                <w:lang w:val="en-US"/>
              </w:rPr>
            </w:pPr>
          </w:p>
        </w:tc>
        <w:tc>
          <w:tcPr>
            <w:tcW w:w="1122" w:type="dxa"/>
            <w:vAlign w:val="center"/>
          </w:tcPr>
          <w:p>
            <w:pPr>
              <w:pStyle w:val="57"/>
              <w:spacing w:line="240" w:lineRule="auto"/>
              <w:ind w:left="91" w:right="79"/>
              <w:rPr>
                <w:rFonts w:ascii="Times New Roman" w:hAnsi="Times New Roman" w:cs="Times New Roman"/>
                <w:b/>
                <w:bCs/>
                <w:sz w:val="24"/>
                <w:szCs w:val="24"/>
                <w:lang w:val="en-US"/>
              </w:rPr>
            </w:pPr>
            <w:r>
              <w:rPr>
                <w:rFonts w:ascii="Times New Roman" w:hAnsi="Times New Roman" w:cs="Times New Roman"/>
                <w:b/>
                <w:bCs/>
                <w:sz w:val="24"/>
                <w:szCs w:val="24"/>
                <w:lang w:val="en-US"/>
              </w:rPr>
              <w:t>12880</w:t>
            </w:r>
          </w:p>
        </w:tc>
      </w:tr>
    </w:tbl>
    <w:p>
      <w:pPr>
        <w:pStyle w:val="25"/>
        <w:spacing w:before="156" w:after="156"/>
        <w:ind w:left="0" w:leftChars="0"/>
      </w:pPr>
      <w:bookmarkStart w:id="54" w:name="_Toc84536511"/>
      <w:r>
        <w:rPr>
          <w:rFonts w:hint="eastAsia"/>
        </w:rPr>
        <w:t>2.1.4 生态敏感区</w:t>
      </w:r>
      <w:bookmarkEnd w:id="54"/>
    </w:p>
    <w:p>
      <w:pPr>
        <w:spacing w:line="360" w:lineRule="auto"/>
        <w:ind w:firstLine="560" w:firstLineChars="200"/>
        <w:rPr>
          <w:rFonts w:eastAsiaTheme="minorEastAsia"/>
          <w:color w:val="000000" w:themeColor="text1"/>
          <w:sz w:val="28"/>
          <w:szCs w:val="28"/>
          <w14:textFill>
            <w14:solidFill>
              <w14:schemeClr w14:val="tx1"/>
            </w14:solidFill>
          </w14:textFill>
        </w:rPr>
      </w:pPr>
      <w:r>
        <w:rPr>
          <w:rFonts w:hint="eastAsia" w:eastAsiaTheme="minorEastAsia"/>
          <w:color w:val="000000" w:themeColor="text1"/>
          <w:sz w:val="28"/>
          <w:szCs w:val="28"/>
          <w14:textFill>
            <w14:solidFill>
              <w14:schemeClr w14:val="tx1"/>
            </w14:solidFill>
          </w14:textFill>
        </w:rPr>
        <w:t>主要包括泗县电视台新虹桥至小汴河与新濉河交汇处为“世界文化遗产”，占用岸线长度为11.700 km，占小汴河岸线长度的20.23%。其余段为省级文物保护单位，占小汴河岸线长度的79.77%。</w:t>
      </w:r>
    </w:p>
    <w:p>
      <w:pPr>
        <w:pStyle w:val="25"/>
        <w:spacing w:before="156" w:after="156"/>
        <w:ind w:left="0" w:leftChars="0"/>
      </w:pPr>
      <w:bookmarkStart w:id="55" w:name="_Toc84536512"/>
      <w:r>
        <w:rPr>
          <w:rFonts w:hint="eastAsia"/>
        </w:rPr>
        <w:t>2.1.5 流域环境现状</w:t>
      </w:r>
      <w:bookmarkEnd w:id="55"/>
    </w:p>
    <w:p>
      <w:pPr>
        <w:spacing w:line="360" w:lineRule="auto"/>
        <w:ind w:firstLine="560" w:firstLineChars="200"/>
        <w:rPr>
          <w:rFonts w:eastAsiaTheme="minorEastAsia"/>
          <w:sz w:val="28"/>
          <w:szCs w:val="28"/>
        </w:rPr>
      </w:pPr>
      <w:r>
        <w:rPr>
          <w:rFonts w:hint="eastAsia" w:eastAsiaTheme="minorEastAsia"/>
          <w:sz w:val="28"/>
          <w:szCs w:val="28"/>
        </w:rPr>
        <w:t>大运河宿州段区域的土地资源已基本全部开发用于工农业生产，区域地带性植被为次生植被和人工植被所替代，呈现为半人工的农业生态系统和人工的城镇生态系统，植物种类较少，但生物量较高。区内植被覆盖度高，植被以作物为主，农业用地比例较大，一般在65～75%，土地垦殖率高，裸露地极少，林地和果树等乔木树种组成的森林植被所占比重不大。农作物品种资源丰富，主要粮食作物有小麦、水稻、玉米、甘薯、豆类；油类作物有油菜、花生、芝麻；经济作物有棉花、黄麻、茶；果树有桃、杏、梨、柿等。近年来西瓜、甜瓜、草莓和各类蔬菜种植面积不断扩大，在农业结构中占的比重逐渐增大。区内动物属常见种，野生动物种类贫乏，主要为人工养殖的家禽和家畜。水生生物主要分为水生植物和水生动物两大类。水生植物可分为浮游植物、水生维管束植物、浮叶植物和挺水植物；水生动物可分为浮游动物、底栖动物以及鱼类。</w:t>
      </w:r>
    </w:p>
    <w:p>
      <w:pPr>
        <w:pStyle w:val="4"/>
        <w:spacing w:before="312" w:after="312"/>
        <w:rPr>
          <w:rFonts w:eastAsiaTheme="minorEastAsia"/>
        </w:rPr>
      </w:pPr>
      <w:bookmarkStart w:id="56" w:name="_Toc84536513"/>
      <w:r>
        <w:rPr>
          <w:rFonts w:hint="eastAsia" w:eastAsiaTheme="minorEastAsia"/>
        </w:rPr>
        <w:t>2</w:t>
      </w:r>
      <w:r>
        <w:rPr>
          <w:rFonts w:hint="eastAsia"/>
        </w:rPr>
        <w:t>.</w:t>
      </w:r>
      <w:r>
        <w:rPr>
          <w:rFonts w:hint="eastAsia" w:eastAsiaTheme="minorEastAsia"/>
        </w:rPr>
        <w:t>2</w:t>
      </w:r>
      <w:r>
        <w:rPr>
          <w:rFonts w:hint="eastAsia"/>
        </w:rPr>
        <w:t xml:space="preserve"> </w:t>
      </w:r>
      <w:r>
        <w:rPr>
          <w:rFonts w:asciiTheme="minorEastAsia" w:hAnsiTheme="minorEastAsia" w:eastAsiaTheme="minorEastAsia"/>
        </w:rPr>
        <w:t>大运河</w:t>
      </w:r>
      <w:r>
        <w:rPr>
          <w:rFonts w:hint="eastAsia" w:asciiTheme="minorEastAsia" w:hAnsiTheme="minorEastAsia" w:eastAsiaTheme="minorEastAsia"/>
        </w:rPr>
        <w:t>宿州</w:t>
      </w:r>
      <w:r>
        <w:rPr>
          <w:rFonts w:asciiTheme="minorEastAsia" w:hAnsiTheme="minorEastAsia" w:eastAsiaTheme="minorEastAsia"/>
        </w:rPr>
        <w:t>段核心区国土空间管控</w:t>
      </w:r>
      <w:r>
        <w:rPr>
          <w:rFonts w:hint="eastAsia" w:asciiTheme="minorEastAsia" w:hAnsiTheme="minorEastAsia" w:eastAsiaTheme="minorEastAsia"/>
        </w:rPr>
        <w:t>情况</w:t>
      </w:r>
      <w:bookmarkEnd w:id="56"/>
    </w:p>
    <w:p>
      <w:pPr>
        <w:pStyle w:val="25"/>
        <w:spacing w:before="156" w:after="156"/>
        <w:ind w:left="0" w:leftChars="0"/>
      </w:pPr>
      <w:bookmarkStart w:id="57" w:name="_Toc84536514"/>
      <w:bookmarkStart w:id="58" w:name="_Toc38913526"/>
      <w:r>
        <w:rPr>
          <w:rFonts w:hint="eastAsia"/>
        </w:rPr>
        <w:t>2.2.1 文化遗产区</w:t>
      </w:r>
      <w:bookmarkEnd w:id="57"/>
      <w:bookmarkEnd w:id="58"/>
    </w:p>
    <w:p>
      <w:pPr>
        <w:pStyle w:val="61"/>
        <w:ind w:firstLine="560"/>
        <w:rPr>
          <w:rFonts w:ascii="Times New Roman" w:cs="Times New Roman" w:eastAsiaTheme="minorEastAsia"/>
          <w:color w:val="auto"/>
          <w:kern w:val="2"/>
          <w:sz w:val="28"/>
          <w:szCs w:val="28"/>
        </w:rPr>
      </w:pPr>
      <w:r>
        <w:rPr>
          <w:rFonts w:hint="eastAsia" w:ascii="Times New Roman" w:cs="Times New Roman" w:eastAsiaTheme="minorEastAsia"/>
          <w:color w:val="auto"/>
          <w:kern w:val="2"/>
          <w:sz w:val="28"/>
          <w:szCs w:val="28"/>
        </w:rPr>
        <w:t>指全市域内三级文化遗产区域。</w:t>
      </w:r>
    </w:p>
    <w:p>
      <w:pPr>
        <w:pStyle w:val="61"/>
        <w:ind w:firstLine="560"/>
        <w:rPr>
          <w:rFonts w:ascii="Times New Roman" w:cs="Times New Roman" w:eastAsiaTheme="minorEastAsia"/>
          <w:color w:val="auto"/>
          <w:kern w:val="2"/>
          <w:sz w:val="28"/>
          <w:szCs w:val="28"/>
        </w:rPr>
      </w:pPr>
      <w:r>
        <w:rPr>
          <w:rFonts w:hint="eastAsia" w:ascii="Times New Roman" w:cs="Times New Roman" w:eastAsiaTheme="minorEastAsia"/>
          <w:color w:val="auto"/>
          <w:kern w:val="2"/>
          <w:sz w:val="28"/>
          <w:szCs w:val="28"/>
        </w:rPr>
        <w:t>运河故道文化遗产区主要包括文保单位划定的保护范围和建设控制地带。保护范围是泗县范围内为运河故道堤脚线范围外扩</w:t>
      </w:r>
      <w:r>
        <w:rPr>
          <w:rFonts w:ascii="Times New Roman" w:cs="Times New Roman" w:eastAsiaTheme="minorEastAsia"/>
          <w:color w:val="auto"/>
          <w:kern w:val="2"/>
          <w:sz w:val="28"/>
          <w:szCs w:val="28"/>
        </w:rPr>
        <w:t>30</w:t>
      </w:r>
      <w:r>
        <w:rPr>
          <w:rFonts w:hint="eastAsia" w:ascii="Times New Roman" w:cs="Times New Roman" w:eastAsiaTheme="minorEastAsia"/>
          <w:color w:val="auto"/>
          <w:kern w:val="2"/>
          <w:sz w:val="28"/>
          <w:szCs w:val="28"/>
        </w:rPr>
        <w:t xml:space="preserve"> m+（周边用地主要为郊野环境），或外扩</w:t>
      </w:r>
      <w:r>
        <w:rPr>
          <w:rFonts w:ascii="Times New Roman" w:cs="Times New Roman" w:eastAsiaTheme="minorEastAsia"/>
          <w:color w:val="auto"/>
          <w:kern w:val="2"/>
          <w:sz w:val="28"/>
          <w:szCs w:val="28"/>
        </w:rPr>
        <w:t>15</w:t>
      </w:r>
      <w:r>
        <w:rPr>
          <w:rFonts w:hint="eastAsia" w:ascii="Times New Roman" w:cs="Times New Roman" w:eastAsiaTheme="minorEastAsia"/>
          <w:color w:val="auto"/>
          <w:kern w:val="2"/>
          <w:sz w:val="28"/>
          <w:szCs w:val="28"/>
        </w:rPr>
        <w:t xml:space="preserve"> m（周边用地主要为城市建成环境）。建设控制地带是泗县范围内为运河故道堤脚线范围外，南、北各外扩</w:t>
      </w:r>
      <w:r>
        <w:rPr>
          <w:rFonts w:ascii="Times New Roman" w:cs="Times New Roman" w:eastAsiaTheme="minorEastAsia"/>
          <w:color w:val="auto"/>
          <w:kern w:val="2"/>
          <w:sz w:val="28"/>
          <w:szCs w:val="28"/>
        </w:rPr>
        <w:t>150</w:t>
      </w:r>
      <w:r>
        <w:rPr>
          <w:rFonts w:hint="eastAsia" w:ascii="Times New Roman" w:cs="Times New Roman" w:eastAsiaTheme="minorEastAsia"/>
          <w:color w:val="auto"/>
          <w:kern w:val="2"/>
          <w:sz w:val="28"/>
          <w:szCs w:val="28"/>
        </w:rPr>
        <w:t xml:space="preserve"> m（周边用地主要为郊野环境），或南、北各外扩</w:t>
      </w:r>
      <w:r>
        <w:rPr>
          <w:rFonts w:ascii="Times New Roman" w:cs="Times New Roman" w:eastAsiaTheme="minorEastAsia"/>
          <w:color w:val="auto"/>
          <w:kern w:val="2"/>
          <w:sz w:val="28"/>
          <w:szCs w:val="28"/>
        </w:rPr>
        <w:t>80</w:t>
      </w:r>
      <w:r>
        <w:rPr>
          <w:rFonts w:hint="eastAsia" w:ascii="Times New Roman" w:cs="Times New Roman" w:eastAsiaTheme="minorEastAsia"/>
          <w:color w:val="auto"/>
          <w:kern w:val="2"/>
          <w:sz w:val="28"/>
          <w:szCs w:val="28"/>
        </w:rPr>
        <w:t xml:space="preserve"> m（周边用地主要为城市建成环境和郊野村庄环境）（皖政秘〔</w:t>
      </w:r>
      <w:r>
        <w:rPr>
          <w:rFonts w:ascii="Times New Roman" w:cs="Times New Roman" w:eastAsiaTheme="minorEastAsia"/>
          <w:color w:val="auto"/>
          <w:kern w:val="2"/>
          <w:sz w:val="28"/>
          <w:szCs w:val="28"/>
        </w:rPr>
        <w:t>2019</w:t>
      </w:r>
      <w:r>
        <w:rPr>
          <w:rFonts w:hint="eastAsia" w:ascii="Times New Roman" w:cs="Times New Roman" w:eastAsiaTheme="minorEastAsia"/>
          <w:color w:val="auto"/>
          <w:kern w:val="2"/>
          <w:sz w:val="28"/>
          <w:szCs w:val="28"/>
        </w:rPr>
        <w:t>〕</w:t>
      </w:r>
      <w:r>
        <w:rPr>
          <w:rFonts w:ascii="Times New Roman" w:cs="Times New Roman" w:eastAsiaTheme="minorEastAsia"/>
          <w:color w:val="auto"/>
          <w:kern w:val="2"/>
          <w:sz w:val="28"/>
          <w:szCs w:val="28"/>
        </w:rPr>
        <w:t>68</w:t>
      </w:r>
      <w:r>
        <w:rPr>
          <w:rFonts w:hint="eastAsia" w:ascii="Times New Roman" w:cs="Times New Roman" w:eastAsiaTheme="minorEastAsia"/>
          <w:color w:val="auto"/>
          <w:kern w:val="2"/>
          <w:sz w:val="28"/>
          <w:szCs w:val="28"/>
        </w:rPr>
        <w:t>号《安徽省人民政府关于公布部分省级以上文物保护单位保护范围和建设控制地带的通知》）。</w:t>
      </w:r>
    </w:p>
    <w:p>
      <w:pPr>
        <w:pStyle w:val="6"/>
        <w:spacing w:before="62" w:after="62"/>
        <w:rPr>
          <w:rFonts w:ascii="Times New Roman" w:hAnsi="Times New Roman"/>
        </w:rPr>
      </w:pPr>
      <w:bookmarkStart w:id="59" w:name="_Toc38913527"/>
      <w:r>
        <w:rPr>
          <w:rFonts w:hint="eastAsia" w:ascii="Times New Roman" w:hAnsi="Times New Roman"/>
        </w:rPr>
        <w:t xml:space="preserve">2.2.1.1 </w:t>
      </w:r>
      <w:r>
        <w:rPr>
          <w:rFonts w:hint="eastAsia" w:ascii="Times New Roman" w:hAnsi="Times New Roman" w:eastAsia="宋体"/>
          <w:color w:val="000000" w:themeColor="text1"/>
          <w:szCs w:val="28"/>
          <w14:textFill>
            <w14:solidFill>
              <w14:schemeClr w14:val="tx1"/>
            </w14:solidFill>
          </w14:textFill>
        </w:rPr>
        <w:t>管控措施</w:t>
      </w:r>
      <w:bookmarkEnd w:id="59"/>
    </w:p>
    <w:p>
      <w:pPr>
        <w:spacing w:line="360" w:lineRule="auto"/>
        <w:ind w:firstLine="560" w:firstLineChars="200"/>
        <w:rPr>
          <w:rFonts w:eastAsiaTheme="minorEastAsia"/>
          <w:sz w:val="28"/>
          <w:szCs w:val="28"/>
        </w:rPr>
      </w:pPr>
      <w:r>
        <w:rPr>
          <w:rFonts w:hint="eastAsia" w:eastAsiaTheme="minorEastAsia"/>
          <w:sz w:val="28"/>
          <w:szCs w:val="28"/>
        </w:rPr>
        <w:t>①第一级：被列入世界文化遗产的遗产段范围。</w:t>
      </w:r>
    </w:p>
    <w:p>
      <w:pPr>
        <w:spacing w:line="360" w:lineRule="auto"/>
        <w:ind w:firstLine="560" w:firstLineChars="200"/>
        <w:rPr>
          <w:rFonts w:eastAsiaTheme="minorEastAsia"/>
          <w:color w:val="000000" w:themeColor="text1"/>
          <w:sz w:val="28"/>
          <w:szCs w:val="28"/>
          <w14:textFill>
            <w14:solidFill>
              <w14:schemeClr w14:val="tx1"/>
            </w14:solidFill>
          </w14:textFill>
        </w:rPr>
      </w:pPr>
      <w:r>
        <w:rPr>
          <w:rFonts w:hint="eastAsia" w:eastAsiaTheme="minorEastAsia"/>
          <w:color w:val="000000" w:themeColor="text1"/>
          <w:sz w:val="28"/>
          <w:szCs w:val="28"/>
          <w14:textFill>
            <w14:solidFill>
              <w14:schemeClr w14:val="tx1"/>
            </w14:solidFill>
          </w14:textFill>
        </w:rPr>
        <w:t>2014年6月22日，在第38届世界遗产委员会会议上，大运河登录世界遗产名录。大运河泗县段，即隋唐大运河泗县段（泗县俗称古汴河），作为通济渠段的重要组成部分，2013年经国务院公布为第七批全国重点文物保护单位，其中泗县电视台新虹桥至小汴河与新濉河交汇11.7 km处被联合国教科文组织审议通过为世界文化遗产段，成为大运河通济渠段7处世界文化遗产点（段）之一。保护范围分为遗产区和缓冲区。</w:t>
      </w:r>
    </w:p>
    <w:p>
      <w:pPr>
        <w:spacing w:line="360" w:lineRule="auto"/>
        <w:ind w:firstLine="560" w:firstLineChars="200"/>
        <w:rPr>
          <w:rFonts w:eastAsiaTheme="minorEastAsia"/>
          <w:color w:val="000000" w:themeColor="text1"/>
          <w:sz w:val="28"/>
          <w:szCs w:val="28"/>
          <w14:textFill>
            <w14:solidFill>
              <w14:schemeClr w14:val="tx1"/>
            </w14:solidFill>
          </w14:textFill>
        </w:rPr>
      </w:pPr>
      <w:r>
        <w:rPr>
          <w:rFonts w:hint="eastAsia" w:eastAsiaTheme="minorEastAsia"/>
          <w:color w:val="000000" w:themeColor="text1"/>
          <w:sz w:val="28"/>
          <w:szCs w:val="28"/>
          <w14:textFill>
            <w14:solidFill>
              <w14:schemeClr w14:val="tx1"/>
            </w14:solidFill>
          </w14:textFill>
        </w:rPr>
        <w:t>应按照《中国大运河遗产管理规划》对遗产区、缓冲区进行管理和控制，建设项目应取得国家文物局批准。</w:t>
      </w:r>
    </w:p>
    <w:p>
      <w:pPr>
        <w:spacing w:line="360" w:lineRule="auto"/>
        <w:ind w:firstLine="560" w:firstLineChars="200"/>
        <w:rPr>
          <w:rFonts w:eastAsiaTheme="minorEastAsia"/>
          <w:sz w:val="28"/>
          <w:szCs w:val="28"/>
        </w:rPr>
      </w:pPr>
      <w:r>
        <w:rPr>
          <w:rFonts w:hint="eastAsia" w:eastAsiaTheme="minorEastAsia"/>
          <w:sz w:val="28"/>
          <w:szCs w:val="28"/>
        </w:rPr>
        <w:t>②第二级：国家级文化遗产范围。</w:t>
      </w:r>
    </w:p>
    <w:p>
      <w:pPr>
        <w:spacing w:line="360" w:lineRule="auto"/>
        <w:ind w:firstLine="560" w:firstLineChars="200"/>
        <w:rPr>
          <w:rFonts w:eastAsiaTheme="minorEastAsia"/>
          <w:sz w:val="28"/>
          <w:szCs w:val="28"/>
        </w:rPr>
      </w:pPr>
      <w:r>
        <w:rPr>
          <w:rFonts w:hint="eastAsia" w:eastAsiaTheme="minorEastAsia"/>
          <w:sz w:val="28"/>
          <w:szCs w:val="28"/>
        </w:rPr>
        <w:t>宿州市全境市域内包括泗县运河有水河段在内的所有国家级文物保护单位，包括全国重点文物保护、国家级历史文化名城名镇名村。</w:t>
      </w:r>
    </w:p>
    <w:p>
      <w:pPr>
        <w:spacing w:line="360" w:lineRule="auto"/>
        <w:ind w:firstLine="560" w:firstLineChars="200"/>
        <w:rPr>
          <w:rFonts w:eastAsiaTheme="minorEastAsia"/>
          <w:sz w:val="28"/>
          <w:szCs w:val="28"/>
        </w:rPr>
      </w:pPr>
      <w:r>
        <w:rPr>
          <w:rFonts w:hint="eastAsia" w:eastAsiaTheme="minorEastAsia"/>
          <w:sz w:val="28"/>
          <w:szCs w:val="28"/>
        </w:rPr>
        <w:t>全国重点文物保护单位在大运河的保护范围和建设控制地带内的建设项目在批准前应当征得国务院文物行政部门同意。</w:t>
      </w:r>
    </w:p>
    <w:p>
      <w:pPr>
        <w:spacing w:line="360" w:lineRule="auto"/>
        <w:ind w:firstLine="560" w:firstLineChars="200"/>
        <w:rPr>
          <w:rFonts w:eastAsiaTheme="minorEastAsia"/>
          <w:sz w:val="28"/>
          <w:szCs w:val="28"/>
        </w:rPr>
      </w:pPr>
      <w:r>
        <w:rPr>
          <w:rFonts w:hint="eastAsia" w:eastAsiaTheme="minorEastAsia"/>
          <w:sz w:val="28"/>
          <w:szCs w:val="28"/>
        </w:rPr>
        <w:t>国家级历史文化名城名镇名村保护规划由市人民政府审批。保护规划的组织编制机关应当将经依法批准的历史文化名城保护规划和中国历史文化名镇、名村保护规划，报国务院建设主管部门和国务院文物主管部门备案。</w:t>
      </w:r>
    </w:p>
    <w:p>
      <w:pPr>
        <w:spacing w:line="360" w:lineRule="auto"/>
        <w:ind w:firstLine="560" w:firstLineChars="200"/>
        <w:rPr>
          <w:rFonts w:eastAsiaTheme="minorEastAsia"/>
          <w:sz w:val="28"/>
          <w:szCs w:val="28"/>
        </w:rPr>
      </w:pPr>
      <w:r>
        <w:rPr>
          <w:rFonts w:hint="eastAsia" w:eastAsiaTheme="minorEastAsia"/>
          <w:sz w:val="28"/>
          <w:szCs w:val="28"/>
        </w:rPr>
        <w:t>③第三级：市级及以下批准的各类文化遗产。</w:t>
      </w:r>
    </w:p>
    <w:p>
      <w:pPr>
        <w:spacing w:line="360" w:lineRule="auto"/>
        <w:ind w:firstLine="560" w:firstLineChars="200"/>
        <w:rPr>
          <w:rFonts w:eastAsiaTheme="minorEastAsia"/>
          <w:sz w:val="28"/>
          <w:szCs w:val="28"/>
        </w:rPr>
      </w:pPr>
      <w:r>
        <w:rPr>
          <w:rFonts w:hint="eastAsia" w:eastAsiaTheme="minorEastAsia"/>
          <w:sz w:val="28"/>
          <w:szCs w:val="28"/>
        </w:rPr>
        <w:t>宿州市全境大运河遗址遗迹资源，均按照《大运河宿州段核心监控区国土空间管控细则》及</w:t>
      </w:r>
      <w:r>
        <w:rPr>
          <w:rFonts w:eastAsiaTheme="minorEastAsia"/>
          <w:sz w:val="28"/>
          <w:szCs w:val="28"/>
        </w:rPr>
        <w:t>《大运河遗产（安徽段）保护规划》</w:t>
      </w:r>
      <w:r>
        <w:rPr>
          <w:rFonts w:hint="eastAsia" w:eastAsiaTheme="minorEastAsia"/>
          <w:sz w:val="28"/>
          <w:szCs w:val="28"/>
        </w:rPr>
        <w:t>”进行管理。其他市级文物保护单位，还包括全境市域内市级及以下不可移动遗产点、文物保护单位、名城名镇名村、历史风貌建筑、历史建筑等。</w:t>
      </w:r>
    </w:p>
    <w:p>
      <w:pPr>
        <w:spacing w:line="360" w:lineRule="auto"/>
        <w:ind w:firstLine="560" w:firstLineChars="200"/>
        <w:rPr>
          <w:rFonts w:ascii="仿宋" w:hAnsi="仿宋" w:eastAsia="仿宋" w:cs="仿宋"/>
          <w:sz w:val="28"/>
          <w:szCs w:val="28"/>
        </w:rPr>
      </w:pPr>
      <w:r>
        <w:rPr>
          <w:rFonts w:hint="eastAsia" w:eastAsiaTheme="minorEastAsia"/>
          <w:sz w:val="28"/>
          <w:szCs w:val="28"/>
        </w:rPr>
        <w:t>保护规划由市人民政府审批。保护规划的组织编制机关应当将经依法批准的历史文化名城保护规划和历史文化名镇、名村保护规划，报省、市建设主管部门和文物主管部门备案。</w:t>
      </w:r>
    </w:p>
    <w:p>
      <w:pPr>
        <w:pStyle w:val="6"/>
        <w:spacing w:before="62" w:after="62"/>
        <w:rPr>
          <w:rFonts w:ascii="仿宋" w:hAnsi="仿宋" w:eastAsia="仿宋" w:cs="仿宋"/>
          <w:b w:val="0"/>
          <w:bCs/>
          <w:szCs w:val="28"/>
        </w:rPr>
      </w:pPr>
      <w:bookmarkStart w:id="60" w:name="_Toc38913528"/>
      <w:r>
        <w:rPr>
          <w:rFonts w:hint="eastAsia" w:ascii="Times New Roman" w:hAnsi="Times New Roman"/>
        </w:rPr>
        <w:t xml:space="preserve">2.2.1.2 </w:t>
      </w:r>
      <w:r>
        <w:rPr>
          <w:rFonts w:hint="eastAsia" w:asciiTheme="minorEastAsia" w:hAnsiTheme="minorEastAsia" w:eastAsiaTheme="minorEastAsia"/>
        </w:rPr>
        <w:t>制定依据</w:t>
      </w:r>
      <w:bookmarkEnd w:id="60"/>
    </w:p>
    <w:p>
      <w:pPr>
        <w:spacing w:line="360" w:lineRule="auto"/>
        <w:ind w:firstLine="560" w:firstLineChars="200"/>
        <w:rPr>
          <w:rFonts w:eastAsiaTheme="minorEastAsia"/>
          <w:sz w:val="28"/>
          <w:szCs w:val="28"/>
        </w:rPr>
      </w:pPr>
      <w:r>
        <w:rPr>
          <w:rFonts w:hint="eastAsia" w:eastAsiaTheme="minorEastAsia"/>
          <w:sz w:val="28"/>
          <w:szCs w:val="28"/>
        </w:rPr>
        <w:t>（1）《安徽省人民政府关于公布部分省级以上文物保护单位保护范围和建设控制地带的通知》（皖政秘〔2019〕68号）。</w:t>
      </w:r>
    </w:p>
    <w:p>
      <w:pPr>
        <w:spacing w:line="360" w:lineRule="auto"/>
        <w:ind w:firstLine="560" w:firstLineChars="200"/>
        <w:rPr>
          <w:rFonts w:eastAsiaTheme="minorEastAsia"/>
          <w:sz w:val="28"/>
          <w:szCs w:val="28"/>
        </w:rPr>
      </w:pPr>
      <w:r>
        <w:rPr>
          <w:rFonts w:hint="eastAsia" w:eastAsiaTheme="minorEastAsia"/>
          <w:sz w:val="28"/>
          <w:szCs w:val="28"/>
        </w:rPr>
        <w:t>（2）《中共安徽省委办公厅安徽省人民政府办公厅关于印发&lt;安徽省大运河文化保护传承利用实施规划&gt;的通知》（皖办发〔2019〕21号）。</w:t>
      </w:r>
    </w:p>
    <w:p>
      <w:pPr>
        <w:spacing w:line="360" w:lineRule="auto"/>
        <w:ind w:firstLine="560" w:firstLineChars="200"/>
        <w:rPr>
          <w:rFonts w:eastAsiaTheme="minorEastAsia"/>
          <w:sz w:val="28"/>
          <w:szCs w:val="28"/>
        </w:rPr>
      </w:pPr>
      <w:r>
        <w:rPr>
          <w:rFonts w:hint="eastAsia" w:eastAsiaTheme="minorEastAsia"/>
          <w:sz w:val="28"/>
          <w:szCs w:val="28"/>
        </w:rPr>
        <w:t>（3）《大运河遗产（安徽段）保护规划（2011-2030）》。</w:t>
      </w:r>
    </w:p>
    <w:p>
      <w:pPr>
        <w:pStyle w:val="25"/>
        <w:spacing w:before="156" w:after="156"/>
        <w:ind w:left="0" w:leftChars="0"/>
      </w:pPr>
      <w:bookmarkStart w:id="61" w:name="_Toc38913529"/>
      <w:bookmarkStart w:id="62" w:name="_Toc84536515"/>
      <w:r>
        <w:rPr>
          <w:rFonts w:hint="eastAsia"/>
        </w:rPr>
        <w:t>2.2.2 生态保护红线区</w:t>
      </w:r>
      <w:bookmarkEnd w:id="61"/>
      <w:bookmarkEnd w:id="62"/>
    </w:p>
    <w:p>
      <w:pPr>
        <w:spacing w:line="360" w:lineRule="auto"/>
        <w:ind w:firstLine="560" w:firstLineChars="200"/>
        <w:rPr>
          <w:rFonts w:eastAsiaTheme="minorEastAsia"/>
          <w:sz w:val="28"/>
          <w:szCs w:val="28"/>
        </w:rPr>
      </w:pPr>
      <w:r>
        <w:rPr>
          <w:rFonts w:hint="eastAsia" w:eastAsiaTheme="minorEastAsia"/>
          <w:sz w:val="28"/>
          <w:szCs w:val="28"/>
        </w:rPr>
        <w:t>指大运河两岸2 km范围内的生态保护红线区域。</w:t>
      </w:r>
    </w:p>
    <w:p>
      <w:pPr>
        <w:pStyle w:val="6"/>
        <w:spacing w:before="62" w:after="62"/>
        <w:rPr>
          <w:rFonts w:ascii="Times New Roman" w:hAnsi="Times New Roman"/>
        </w:rPr>
      </w:pPr>
      <w:bookmarkStart w:id="63" w:name="_Toc38913530"/>
      <w:r>
        <w:rPr>
          <w:rFonts w:hint="eastAsia" w:ascii="Times New Roman" w:hAnsi="Times New Roman" w:eastAsiaTheme="minorEastAsia"/>
        </w:rPr>
        <w:t>2.2.2</w:t>
      </w:r>
      <w:r>
        <w:rPr>
          <w:rFonts w:hint="eastAsia" w:ascii="Times New Roman" w:hAnsi="Times New Roman"/>
        </w:rPr>
        <w:t>.</w:t>
      </w:r>
      <w:r>
        <w:rPr>
          <w:rFonts w:hint="eastAsia" w:ascii="Times New Roman" w:hAnsi="Times New Roman" w:eastAsiaTheme="minorEastAsia"/>
        </w:rPr>
        <w:t xml:space="preserve">1 </w:t>
      </w:r>
      <w:r>
        <w:rPr>
          <w:rFonts w:hint="eastAsia" w:asciiTheme="minorEastAsia" w:hAnsiTheme="minorEastAsia" w:eastAsiaTheme="minorEastAsia"/>
        </w:rPr>
        <w:t>管控措施</w:t>
      </w:r>
      <w:bookmarkEnd w:id="63"/>
    </w:p>
    <w:p>
      <w:pPr>
        <w:spacing w:line="360" w:lineRule="auto"/>
        <w:ind w:firstLine="560" w:firstLineChars="200"/>
        <w:rPr>
          <w:rFonts w:eastAsiaTheme="minorEastAsia"/>
          <w:sz w:val="28"/>
          <w:szCs w:val="28"/>
        </w:rPr>
      </w:pPr>
      <w:r>
        <w:rPr>
          <w:rFonts w:hint="eastAsia" w:eastAsiaTheme="minorEastAsia"/>
          <w:sz w:val="28"/>
          <w:szCs w:val="28"/>
        </w:rPr>
        <w:t>生态保护红线内，自然保护地核心保护区原则上禁止人为活动，其他区域严格禁止开发性、生产性建设活动，在符合现行法律法规前提下，除国家重大战略项目外，仅允许对生态功能不造成破坏的有限人为活动。</w:t>
      </w:r>
    </w:p>
    <w:p>
      <w:pPr>
        <w:spacing w:line="360" w:lineRule="auto"/>
        <w:ind w:firstLine="560" w:firstLineChars="200"/>
        <w:rPr>
          <w:rFonts w:eastAsiaTheme="minorEastAsia"/>
          <w:sz w:val="28"/>
          <w:szCs w:val="28"/>
        </w:rPr>
      </w:pPr>
      <w:r>
        <w:rPr>
          <w:rFonts w:hint="eastAsia" w:eastAsiaTheme="minorEastAsia"/>
          <w:sz w:val="28"/>
          <w:szCs w:val="28"/>
        </w:rPr>
        <w:t>在保护运河现有资源和尊重历史环境的前提下，恢复运河河湾密布的自然生态面貌，以农田与自然郊野风貌为主导，形成生态绿色走廊。</w:t>
      </w:r>
    </w:p>
    <w:p>
      <w:pPr>
        <w:pStyle w:val="6"/>
        <w:spacing w:before="62" w:after="62"/>
        <w:rPr>
          <w:rFonts w:ascii="Times New Roman" w:hAnsi="Times New Roman"/>
        </w:rPr>
      </w:pPr>
      <w:bookmarkStart w:id="64" w:name="_Toc38913531"/>
      <w:r>
        <w:rPr>
          <w:rFonts w:hint="eastAsia" w:ascii="Times New Roman" w:hAnsi="Times New Roman" w:eastAsiaTheme="minorEastAsia"/>
        </w:rPr>
        <w:t>2.2.</w:t>
      </w:r>
      <w:r>
        <w:rPr>
          <w:rFonts w:hint="eastAsia" w:ascii="Times New Roman" w:hAnsi="Times New Roman"/>
        </w:rPr>
        <w:t>2.</w:t>
      </w:r>
      <w:r>
        <w:rPr>
          <w:rFonts w:hint="eastAsia" w:ascii="Times New Roman" w:hAnsi="Times New Roman" w:eastAsiaTheme="minorEastAsia"/>
        </w:rPr>
        <w:t xml:space="preserve">2 </w:t>
      </w:r>
      <w:r>
        <w:rPr>
          <w:rFonts w:hint="eastAsia" w:asciiTheme="minorEastAsia" w:hAnsiTheme="minorEastAsia" w:eastAsiaTheme="minorEastAsia"/>
        </w:rPr>
        <w:t>制定依据</w:t>
      </w:r>
      <w:bookmarkEnd w:id="64"/>
    </w:p>
    <w:p>
      <w:pPr>
        <w:spacing w:line="360" w:lineRule="auto"/>
        <w:ind w:firstLine="560" w:firstLineChars="200"/>
        <w:rPr>
          <w:rFonts w:eastAsiaTheme="minorEastAsia"/>
          <w:sz w:val="28"/>
          <w:szCs w:val="28"/>
        </w:rPr>
      </w:pPr>
      <w:r>
        <w:rPr>
          <w:rFonts w:hint="eastAsia" w:eastAsiaTheme="minorEastAsia"/>
          <w:sz w:val="28"/>
          <w:szCs w:val="28"/>
        </w:rPr>
        <w:t>（1）《中共安徽省委办公厅安徽省人民政府办公厅关于印发&lt;安徽省大运河文化保护传承利用实施规划&gt;的通知》（皖办发〔2019〕21号）。</w:t>
      </w:r>
    </w:p>
    <w:p>
      <w:pPr>
        <w:spacing w:line="360" w:lineRule="auto"/>
        <w:ind w:firstLine="560" w:firstLineChars="200"/>
        <w:rPr>
          <w:rFonts w:eastAsiaTheme="minorEastAsia"/>
          <w:sz w:val="28"/>
          <w:szCs w:val="28"/>
        </w:rPr>
      </w:pPr>
      <w:r>
        <w:rPr>
          <w:rFonts w:hint="eastAsia" w:eastAsiaTheme="minorEastAsia"/>
          <w:sz w:val="28"/>
          <w:szCs w:val="28"/>
        </w:rPr>
        <w:t>（2）《大运河遗产（安徽段）保护规划（2011-2030）》。</w:t>
      </w:r>
    </w:p>
    <w:p>
      <w:pPr>
        <w:pStyle w:val="6"/>
        <w:spacing w:before="62" w:after="62"/>
        <w:rPr>
          <w:rFonts w:ascii="Times New Roman" w:hAnsi="Times New Roman"/>
        </w:rPr>
      </w:pPr>
      <w:bookmarkStart w:id="65" w:name="_Toc38913532"/>
      <w:r>
        <w:rPr>
          <w:rFonts w:hint="eastAsia" w:ascii="Times New Roman" w:hAnsi="Times New Roman" w:eastAsiaTheme="minorEastAsia"/>
        </w:rPr>
        <w:t>2.2.2.</w:t>
      </w:r>
      <w:r>
        <w:rPr>
          <w:rFonts w:hint="eastAsia" w:ascii="Times New Roman" w:hAnsi="Times New Roman"/>
        </w:rPr>
        <w:t>3</w:t>
      </w:r>
      <w:r>
        <w:rPr>
          <w:rFonts w:hint="eastAsia" w:ascii="Times New Roman" w:hAnsi="Times New Roman" w:eastAsiaTheme="minorEastAsia"/>
        </w:rPr>
        <w:t xml:space="preserve"> </w:t>
      </w:r>
      <w:r>
        <w:rPr>
          <w:rFonts w:hint="eastAsia" w:asciiTheme="minorEastAsia" w:hAnsiTheme="minorEastAsia" w:eastAsiaTheme="minorEastAsia"/>
        </w:rPr>
        <w:t>参考数据</w:t>
      </w:r>
      <w:bookmarkEnd w:id="65"/>
    </w:p>
    <w:p>
      <w:pPr>
        <w:spacing w:line="360" w:lineRule="auto"/>
        <w:ind w:firstLine="560" w:firstLineChars="200"/>
        <w:rPr>
          <w:rFonts w:eastAsiaTheme="minorEastAsia"/>
          <w:sz w:val="28"/>
          <w:szCs w:val="28"/>
        </w:rPr>
      </w:pPr>
      <w:r>
        <w:rPr>
          <w:rFonts w:hint="eastAsia" w:eastAsiaTheme="minorEastAsia"/>
          <w:sz w:val="28"/>
          <w:szCs w:val="28"/>
        </w:rPr>
        <w:t>（1）宿州市生态保护红线区数据库</w:t>
      </w:r>
    </w:p>
    <w:p>
      <w:pPr>
        <w:pStyle w:val="25"/>
        <w:spacing w:before="156" w:after="156"/>
        <w:ind w:left="0" w:leftChars="0"/>
      </w:pPr>
      <w:bookmarkStart w:id="66" w:name="_Toc84536516"/>
      <w:bookmarkStart w:id="67" w:name="_Toc38913533"/>
      <w:r>
        <w:rPr>
          <w:rFonts w:hint="eastAsia"/>
        </w:rPr>
        <w:t>2.2.3 永久基本农田保护区</w:t>
      </w:r>
      <w:bookmarkEnd w:id="66"/>
      <w:bookmarkEnd w:id="67"/>
    </w:p>
    <w:p>
      <w:pPr>
        <w:spacing w:line="360" w:lineRule="auto"/>
        <w:ind w:firstLine="560" w:firstLineChars="200"/>
        <w:rPr>
          <w:rFonts w:eastAsiaTheme="minorEastAsia"/>
          <w:sz w:val="28"/>
          <w:szCs w:val="28"/>
        </w:rPr>
      </w:pPr>
      <w:r>
        <w:rPr>
          <w:rFonts w:hint="eastAsia" w:eastAsiaTheme="minorEastAsia"/>
          <w:sz w:val="28"/>
          <w:szCs w:val="28"/>
        </w:rPr>
        <w:t>指大运河两岸2 km范围内的永久基本农田保护区域。</w:t>
      </w:r>
    </w:p>
    <w:p>
      <w:pPr>
        <w:pStyle w:val="6"/>
        <w:spacing w:before="62" w:after="62"/>
        <w:rPr>
          <w:rFonts w:ascii="Times New Roman" w:hAnsi="Times New Roman"/>
        </w:rPr>
      </w:pPr>
      <w:bookmarkStart w:id="68" w:name="_Toc38913534"/>
      <w:r>
        <w:rPr>
          <w:rFonts w:hint="eastAsia" w:ascii="Times New Roman" w:hAnsi="Times New Roman" w:eastAsiaTheme="minorEastAsia"/>
        </w:rPr>
        <w:t>2.2.3.</w:t>
      </w:r>
      <w:r>
        <w:rPr>
          <w:rFonts w:hint="eastAsia" w:ascii="Times New Roman" w:hAnsi="Times New Roman"/>
        </w:rPr>
        <w:t>1</w:t>
      </w:r>
      <w:r>
        <w:rPr>
          <w:rFonts w:hint="eastAsia" w:ascii="Times New Roman" w:hAnsi="Times New Roman" w:eastAsiaTheme="minorEastAsia"/>
        </w:rPr>
        <w:t xml:space="preserve"> </w:t>
      </w:r>
      <w:r>
        <w:rPr>
          <w:rFonts w:hint="eastAsia" w:asciiTheme="minorEastAsia" w:hAnsiTheme="minorEastAsia" w:eastAsiaTheme="minorEastAsia"/>
        </w:rPr>
        <w:t>管控措施</w:t>
      </w:r>
      <w:bookmarkEnd w:id="68"/>
    </w:p>
    <w:p>
      <w:pPr>
        <w:spacing w:line="360" w:lineRule="auto"/>
        <w:ind w:firstLine="560" w:firstLineChars="200"/>
        <w:rPr>
          <w:rFonts w:eastAsiaTheme="minorEastAsia"/>
          <w:sz w:val="28"/>
          <w:szCs w:val="28"/>
        </w:rPr>
      </w:pPr>
      <w:r>
        <w:rPr>
          <w:rFonts w:hint="eastAsia" w:eastAsiaTheme="minorEastAsia"/>
          <w:sz w:val="28"/>
          <w:szCs w:val="28"/>
        </w:rPr>
        <w:t>（1）禁止在永久基本农田保护区内建窑、建房、挖砂、采石、取土、堆放固体废弃物或进行其他破坏基本农田的活动。</w:t>
      </w:r>
    </w:p>
    <w:p>
      <w:pPr>
        <w:spacing w:line="360" w:lineRule="auto"/>
        <w:ind w:firstLine="560" w:firstLineChars="200"/>
        <w:rPr>
          <w:rFonts w:eastAsiaTheme="minorEastAsia"/>
          <w:sz w:val="28"/>
          <w:szCs w:val="28"/>
        </w:rPr>
      </w:pPr>
      <w:r>
        <w:rPr>
          <w:rFonts w:hint="eastAsia" w:eastAsiaTheme="minorEastAsia"/>
          <w:sz w:val="28"/>
          <w:szCs w:val="28"/>
        </w:rPr>
        <w:t>（2）禁止闲置、荒芜基本农田。</w:t>
      </w:r>
    </w:p>
    <w:p>
      <w:pPr>
        <w:spacing w:line="360" w:lineRule="auto"/>
        <w:ind w:firstLine="560" w:firstLineChars="200"/>
        <w:rPr>
          <w:rFonts w:eastAsiaTheme="minorEastAsia"/>
          <w:sz w:val="28"/>
          <w:szCs w:val="28"/>
        </w:rPr>
      </w:pPr>
      <w:r>
        <w:rPr>
          <w:rFonts w:hint="eastAsia" w:eastAsiaTheme="minorEastAsia"/>
          <w:sz w:val="28"/>
          <w:szCs w:val="28"/>
        </w:rPr>
        <w:t>（3）提倡合理施用化肥和农药，利用基本农田从事农业生产的单位个人应保持和培肥地力。</w:t>
      </w:r>
    </w:p>
    <w:p>
      <w:pPr>
        <w:spacing w:line="360" w:lineRule="auto"/>
        <w:ind w:firstLine="560" w:firstLineChars="200"/>
        <w:rPr>
          <w:rFonts w:eastAsiaTheme="minorEastAsia"/>
          <w:sz w:val="28"/>
          <w:szCs w:val="28"/>
        </w:rPr>
      </w:pPr>
      <w:r>
        <w:rPr>
          <w:rFonts w:hint="eastAsia" w:eastAsiaTheme="minorEastAsia"/>
          <w:sz w:val="28"/>
          <w:szCs w:val="28"/>
        </w:rPr>
        <w:t>（4）加强对基本农田环境污染监测和评价工作，加强对基本农田的保护措施。</w:t>
      </w:r>
    </w:p>
    <w:p>
      <w:pPr>
        <w:pStyle w:val="6"/>
        <w:spacing w:before="62" w:after="62"/>
        <w:rPr>
          <w:rFonts w:ascii="Times New Roman" w:hAnsi="Times New Roman"/>
        </w:rPr>
      </w:pPr>
      <w:bookmarkStart w:id="69" w:name="_Toc38913535"/>
      <w:r>
        <w:rPr>
          <w:rFonts w:hint="eastAsia" w:ascii="Times New Roman" w:hAnsi="Times New Roman" w:eastAsiaTheme="minorEastAsia"/>
        </w:rPr>
        <w:t xml:space="preserve">2.2.3.2 </w:t>
      </w:r>
      <w:r>
        <w:rPr>
          <w:rFonts w:hint="eastAsia" w:asciiTheme="minorEastAsia" w:hAnsiTheme="minorEastAsia" w:eastAsiaTheme="minorEastAsia"/>
        </w:rPr>
        <w:t>制定依据</w:t>
      </w:r>
      <w:bookmarkEnd w:id="69"/>
    </w:p>
    <w:p>
      <w:pPr>
        <w:spacing w:line="360" w:lineRule="auto"/>
        <w:ind w:firstLine="560" w:firstLineChars="200"/>
        <w:rPr>
          <w:rFonts w:eastAsiaTheme="minorEastAsia"/>
          <w:sz w:val="28"/>
          <w:szCs w:val="28"/>
        </w:rPr>
      </w:pPr>
      <w:r>
        <w:rPr>
          <w:rFonts w:hint="eastAsia" w:eastAsiaTheme="minorEastAsia"/>
          <w:sz w:val="28"/>
          <w:szCs w:val="28"/>
        </w:rPr>
        <w:t>（1）《中共安徽省委办公厅安徽省人民政府办公厅关于印发&lt;安徽省大运河文化保护传承利用实施规划&gt;的通知》（皖办发〔2019〕21号）。</w:t>
      </w:r>
    </w:p>
    <w:p>
      <w:pPr>
        <w:spacing w:line="360" w:lineRule="auto"/>
        <w:ind w:firstLine="560" w:firstLineChars="200"/>
        <w:rPr>
          <w:rFonts w:eastAsiaTheme="minorEastAsia"/>
          <w:sz w:val="28"/>
          <w:szCs w:val="28"/>
        </w:rPr>
      </w:pPr>
      <w:r>
        <w:rPr>
          <w:rFonts w:hint="eastAsia" w:eastAsiaTheme="minorEastAsia"/>
          <w:sz w:val="28"/>
          <w:szCs w:val="28"/>
        </w:rPr>
        <w:t>（2）《基本农田保护条例（中华人民共和国国务院令第257号）》。</w:t>
      </w:r>
    </w:p>
    <w:p>
      <w:pPr>
        <w:spacing w:line="360" w:lineRule="auto"/>
        <w:ind w:firstLine="560" w:firstLineChars="200"/>
        <w:rPr>
          <w:rFonts w:eastAsiaTheme="minorEastAsia"/>
          <w:sz w:val="28"/>
          <w:szCs w:val="28"/>
        </w:rPr>
      </w:pPr>
      <w:r>
        <w:rPr>
          <w:rFonts w:hint="eastAsia" w:eastAsiaTheme="minorEastAsia"/>
          <w:sz w:val="28"/>
          <w:szCs w:val="28"/>
        </w:rPr>
        <w:t>（3）《大运河遗产（安徽段）保护规划（2011-2030）》。</w:t>
      </w:r>
    </w:p>
    <w:p>
      <w:pPr>
        <w:pStyle w:val="6"/>
        <w:spacing w:before="62" w:after="62"/>
        <w:rPr>
          <w:rFonts w:ascii="Times New Roman" w:hAnsi="Times New Roman"/>
        </w:rPr>
      </w:pPr>
      <w:bookmarkStart w:id="70" w:name="_Toc38913536"/>
      <w:r>
        <w:rPr>
          <w:rFonts w:hint="eastAsia" w:ascii="Times New Roman" w:hAnsi="Times New Roman" w:eastAsiaTheme="minorEastAsia"/>
        </w:rPr>
        <w:t>2.2.3.</w:t>
      </w:r>
      <w:r>
        <w:rPr>
          <w:rFonts w:hint="eastAsia" w:ascii="Times New Roman" w:hAnsi="Times New Roman"/>
        </w:rPr>
        <w:t>3</w:t>
      </w:r>
      <w:r>
        <w:rPr>
          <w:rFonts w:hint="eastAsia" w:ascii="Times New Roman" w:hAnsi="Times New Roman" w:eastAsiaTheme="minorEastAsia"/>
        </w:rPr>
        <w:t xml:space="preserve"> </w:t>
      </w:r>
      <w:r>
        <w:rPr>
          <w:rFonts w:hint="eastAsia" w:ascii="宋体" w:hAnsi="宋体" w:eastAsia="宋体"/>
        </w:rPr>
        <w:t>参考数据</w:t>
      </w:r>
      <w:bookmarkEnd w:id="70"/>
    </w:p>
    <w:p>
      <w:pPr>
        <w:spacing w:line="360" w:lineRule="auto"/>
        <w:ind w:firstLine="560" w:firstLineChars="200"/>
        <w:rPr>
          <w:rFonts w:eastAsiaTheme="minorEastAsia"/>
          <w:sz w:val="28"/>
          <w:szCs w:val="28"/>
        </w:rPr>
      </w:pPr>
      <w:r>
        <w:rPr>
          <w:rFonts w:hint="eastAsia" w:eastAsiaTheme="minorEastAsia"/>
          <w:sz w:val="28"/>
          <w:szCs w:val="28"/>
        </w:rPr>
        <w:t>宿州市永久基本农田保护区数据库。</w:t>
      </w:r>
    </w:p>
    <w:p>
      <w:pPr>
        <w:pStyle w:val="25"/>
        <w:spacing w:before="156" w:after="156"/>
        <w:ind w:left="0" w:leftChars="0"/>
      </w:pPr>
      <w:bookmarkStart w:id="71" w:name="_Toc84536517"/>
      <w:bookmarkStart w:id="72" w:name="_Toc38913537"/>
      <w:bookmarkStart w:id="73" w:name="_Toc38706710"/>
      <w:r>
        <w:rPr>
          <w:rFonts w:hint="eastAsia"/>
        </w:rPr>
        <w:t>2.2.4 规划建设区</w:t>
      </w:r>
      <w:bookmarkEnd w:id="71"/>
      <w:bookmarkEnd w:id="72"/>
      <w:bookmarkEnd w:id="73"/>
    </w:p>
    <w:p>
      <w:pPr>
        <w:spacing w:line="360" w:lineRule="auto"/>
        <w:ind w:firstLine="560" w:firstLineChars="200"/>
        <w:rPr>
          <w:rFonts w:eastAsiaTheme="minorEastAsia"/>
          <w:sz w:val="28"/>
          <w:szCs w:val="28"/>
        </w:rPr>
      </w:pPr>
      <w:r>
        <w:rPr>
          <w:rFonts w:hint="eastAsia" w:eastAsiaTheme="minorEastAsia"/>
          <w:sz w:val="28"/>
          <w:szCs w:val="28"/>
        </w:rPr>
        <w:t>指大运河两岸2 km范围内的各建设项目规划建设区域。同时应当符合皖政秘〔2019〕68号《安徽省人民政府关于公布部分省级以上文物保护单位保护范围和建设控制地带的通知》相关规定。</w:t>
      </w:r>
    </w:p>
    <w:p>
      <w:pPr>
        <w:pStyle w:val="6"/>
        <w:spacing w:before="62" w:after="62"/>
        <w:rPr>
          <w:rFonts w:ascii="Times New Roman" w:hAnsi="Times New Roman"/>
        </w:rPr>
      </w:pPr>
      <w:bookmarkStart w:id="74" w:name="_Toc38913538"/>
      <w:bookmarkStart w:id="75" w:name="_Toc38706711"/>
      <w:r>
        <w:rPr>
          <w:rFonts w:hint="eastAsia" w:ascii="Times New Roman" w:hAnsi="Times New Roman" w:eastAsiaTheme="minorEastAsia"/>
        </w:rPr>
        <w:t>2.2.4.</w:t>
      </w:r>
      <w:r>
        <w:rPr>
          <w:rFonts w:hint="eastAsia" w:ascii="Times New Roman" w:hAnsi="Times New Roman"/>
        </w:rPr>
        <w:t>1</w:t>
      </w:r>
      <w:r>
        <w:rPr>
          <w:rFonts w:hint="eastAsia" w:ascii="Times New Roman" w:hAnsi="Times New Roman" w:eastAsiaTheme="minorEastAsia"/>
        </w:rPr>
        <w:t xml:space="preserve"> </w:t>
      </w:r>
      <w:r>
        <w:rPr>
          <w:rFonts w:hint="eastAsia" w:ascii="宋体" w:hAnsi="宋体" w:eastAsia="宋体"/>
        </w:rPr>
        <w:t>管控措施</w:t>
      </w:r>
      <w:bookmarkEnd w:id="74"/>
      <w:bookmarkEnd w:id="75"/>
    </w:p>
    <w:p>
      <w:pPr>
        <w:spacing w:line="360" w:lineRule="auto"/>
        <w:ind w:firstLine="560" w:firstLineChars="200"/>
        <w:rPr>
          <w:rFonts w:eastAsiaTheme="minorEastAsia"/>
          <w:sz w:val="28"/>
          <w:szCs w:val="28"/>
        </w:rPr>
      </w:pPr>
      <w:r>
        <w:rPr>
          <w:rFonts w:hint="eastAsia" w:eastAsiaTheme="minorEastAsia"/>
          <w:sz w:val="28"/>
          <w:szCs w:val="28"/>
        </w:rPr>
        <w:t>（1）强化规划管控，落实土地用途管制，不符合县级发展规划和土地用途管制要求的拟建设项目和设施严禁实施。</w:t>
      </w:r>
    </w:p>
    <w:p>
      <w:pPr>
        <w:spacing w:line="360" w:lineRule="auto"/>
        <w:ind w:firstLine="560" w:firstLineChars="200"/>
        <w:rPr>
          <w:rFonts w:eastAsiaTheme="minorEastAsia"/>
          <w:sz w:val="28"/>
          <w:szCs w:val="28"/>
        </w:rPr>
      </w:pPr>
      <w:r>
        <w:rPr>
          <w:rFonts w:hint="eastAsia" w:eastAsiaTheme="minorEastAsia"/>
          <w:sz w:val="28"/>
          <w:szCs w:val="28"/>
        </w:rPr>
        <w:t>（2）实行建设项目正面清单管理，精细管理新增非公益建设用地。进入正面清单的项目才可以获准实施，例如符合《大运河文化保护传承利用规划纲要》所规定 “四大工程”建设项目：泗县大运河国家公园规划建设区、泗县大运河遗址公园规划建设区，具体范围西起看守所南北路、东至清水沟、北至新濉河、南至泗永路（老S303）（见表2-4、图2-2）。</w:t>
      </w:r>
    </w:p>
    <w:p>
      <w:pPr>
        <w:spacing w:line="360" w:lineRule="auto"/>
        <w:ind w:firstLine="560" w:firstLineChars="200"/>
        <w:rPr>
          <w:rFonts w:eastAsiaTheme="minorEastAsia"/>
          <w:sz w:val="28"/>
          <w:szCs w:val="28"/>
        </w:rPr>
      </w:pPr>
      <w:r>
        <w:rPr>
          <w:rFonts w:hint="eastAsia" w:eastAsiaTheme="minorEastAsia"/>
          <w:sz w:val="28"/>
          <w:szCs w:val="28"/>
        </w:rPr>
        <w:t>（3）强化自然生态修复和改善，提升自然生态功能和产业服务价值。</w:t>
      </w:r>
    </w:p>
    <w:p>
      <w:pPr>
        <w:pStyle w:val="6"/>
        <w:spacing w:before="62" w:after="62"/>
        <w:rPr>
          <w:rFonts w:ascii="Times New Roman" w:hAnsi="Times New Roman"/>
        </w:rPr>
      </w:pPr>
      <w:bookmarkStart w:id="76" w:name="_Toc38913539"/>
      <w:bookmarkStart w:id="77" w:name="_Toc38706712"/>
      <w:r>
        <w:rPr>
          <w:rFonts w:hint="eastAsia" w:ascii="Times New Roman" w:hAnsi="Times New Roman" w:eastAsiaTheme="minorEastAsia"/>
        </w:rPr>
        <w:t>2.2.4.</w:t>
      </w:r>
      <w:r>
        <w:rPr>
          <w:rFonts w:hint="eastAsia" w:ascii="Times New Roman" w:hAnsi="Times New Roman"/>
        </w:rPr>
        <w:t>2</w:t>
      </w:r>
      <w:r>
        <w:rPr>
          <w:rFonts w:hint="eastAsia" w:ascii="Times New Roman" w:hAnsi="Times New Roman" w:eastAsiaTheme="minorEastAsia"/>
        </w:rPr>
        <w:t xml:space="preserve"> </w:t>
      </w:r>
      <w:r>
        <w:rPr>
          <w:rFonts w:hint="eastAsia" w:asciiTheme="minorEastAsia" w:hAnsiTheme="minorEastAsia" w:eastAsiaTheme="minorEastAsia"/>
        </w:rPr>
        <w:t>制定依据</w:t>
      </w:r>
      <w:bookmarkEnd w:id="76"/>
      <w:bookmarkEnd w:id="77"/>
    </w:p>
    <w:p>
      <w:pPr>
        <w:spacing w:line="360" w:lineRule="auto"/>
        <w:ind w:firstLine="560" w:firstLineChars="200"/>
        <w:rPr>
          <w:rFonts w:eastAsiaTheme="minorEastAsia"/>
          <w:sz w:val="28"/>
          <w:szCs w:val="28"/>
        </w:rPr>
      </w:pPr>
      <w:r>
        <w:rPr>
          <w:rFonts w:hint="eastAsia" w:eastAsiaTheme="minorEastAsia"/>
          <w:sz w:val="28"/>
          <w:szCs w:val="28"/>
        </w:rPr>
        <w:t>（1）皖办发〔2019〕21号《中共安徽省委办公厅安徽省人民政府办公厅关于印发&lt;安徽省大运河文化保护传承利用实施规划&gt;的通知》。</w:t>
      </w:r>
    </w:p>
    <w:p>
      <w:pPr>
        <w:spacing w:line="360" w:lineRule="auto"/>
        <w:ind w:firstLine="560" w:firstLineChars="200"/>
        <w:rPr>
          <w:rFonts w:eastAsiaTheme="minorEastAsia"/>
          <w:sz w:val="28"/>
          <w:szCs w:val="28"/>
        </w:rPr>
      </w:pPr>
      <w:r>
        <w:rPr>
          <w:rFonts w:hint="eastAsia" w:eastAsiaTheme="minorEastAsia"/>
          <w:sz w:val="28"/>
          <w:szCs w:val="28"/>
        </w:rPr>
        <w:t>（2）皖政秘〔2019〕68号《安徽省人民政府关于公布部分省级以上文物保护单位保护范围和建设控制地带的通知》。</w:t>
      </w:r>
    </w:p>
    <w:p>
      <w:pPr>
        <w:spacing w:line="360" w:lineRule="auto"/>
        <w:ind w:firstLine="560" w:firstLineChars="200"/>
        <w:rPr>
          <w:rFonts w:eastAsiaTheme="minorEastAsia"/>
          <w:sz w:val="28"/>
          <w:szCs w:val="28"/>
        </w:rPr>
      </w:pPr>
      <w:r>
        <w:rPr>
          <w:rFonts w:hint="eastAsia" w:eastAsiaTheme="minorEastAsia"/>
          <w:sz w:val="28"/>
          <w:szCs w:val="28"/>
        </w:rPr>
        <w:t>（3）《大运河遗产（安徽段）保护规划（2011-2030）》。</w:t>
      </w:r>
    </w:p>
    <w:p>
      <w:pPr>
        <w:spacing w:line="360" w:lineRule="auto"/>
        <w:ind w:firstLine="560" w:firstLineChars="200"/>
        <w:rPr>
          <w:rFonts w:eastAsiaTheme="minorEastAsia"/>
          <w:sz w:val="28"/>
          <w:szCs w:val="28"/>
        </w:rPr>
      </w:pPr>
      <w:r>
        <w:rPr>
          <w:rFonts w:hint="eastAsia" w:eastAsiaTheme="minorEastAsia"/>
          <w:sz w:val="28"/>
          <w:szCs w:val="28"/>
        </w:rPr>
        <w:t>（4）《宿州市城市总体规划（2012-2030）》。</w:t>
      </w:r>
    </w:p>
    <w:p>
      <w:pPr>
        <w:spacing w:line="360" w:lineRule="auto"/>
        <w:ind w:firstLine="560" w:firstLineChars="200"/>
        <w:rPr>
          <w:rFonts w:eastAsiaTheme="minorEastAsia"/>
          <w:sz w:val="28"/>
          <w:szCs w:val="28"/>
        </w:rPr>
      </w:pPr>
      <w:r>
        <w:rPr>
          <w:rFonts w:hint="eastAsia" w:eastAsiaTheme="minorEastAsia"/>
          <w:sz w:val="28"/>
          <w:szCs w:val="28"/>
        </w:rPr>
        <w:t>（5）《泗县县城总体规划（2012-2030）》。</w:t>
      </w:r>
    </w:p>
    <w:p>
      <w:pPr>
        <w:spacing w:line="360" w:lineRule="auto"/>
        <w:ind w:firstLine="560" w:firstLineChars="200"/>
        <w:rPr>
          <w:rFonts w:eastAsiaTheme="minorEastAsia"/>
          <w:sz w:val="28"/>
          <w:szCs w:val="28"/>
        </w:rPr>
      </w:pPr>
      <w:r>
        <w:rPr>
          <w:rFonts w:hint="eastAsia" w:eastAsiaTheme="minorEastAsia"/>
          <w:sz w:val="28"/>
          <w:szCs w:val="28"/>
        </w:rPr>
        <w:t>（6）《灵璧县城市总体规划（2012-2030）》。</w:t>
      </w:r>
    </w:p>
    <w:p>
      <w:pPr>
        <w:pStyle w:val="6"/>
        <w:spacing w:before="62" w:after="62"/>
        <w:rPr>
          <w:rFonts w:ascii="Times New Roman" w:hAnsi="Times New Roman"/>
        </w:rPr>
      </w:pPr>
      <w:bookmarkStart w:id="78" w:name="_Toc38913540"/>
      <w:r>
        <w:rPr>
          <w:rFonts w:hint="eastAsia" w:ascii="Times New Roman" w:hAnsi="Times New Roman" w:eastAsiaTheme="minorEastAsia"/>
        </w:rPr>
        <w:t>2.2.4.</w:t>
      </w:r>
      <w:r>
        <w:rPr>
          <w:rFonts w:hint="eastAsia" w:ascii="Times New Roman" w:hAnsi="Times New Roman"/>
        </w:rPr>
        <w:t>3</w:t>
      </w:r>
      <w:r>
        <w:rPr>
          <w:rFonts w:hint="eastAsia" w:ascii="Times New Roman" w:hAnsi="Times New Roman" w:eastAsiaTheme="minorEastAsia"/>
        </w:rPr>
        <w:t xml:space="preserve"> </w:t>
      </w:r>
      <w:r>
        <w:rPr>
          <w:rFonts w:hint="eastAsia" w:asciiTheme="minorEastAsia" w:hAnsiTheme="minorEastAsia" w:eastAsiaTheme="minorEastAsia"/>
        </w:rPr>
        <w:t>参考数据</w:t>
      </w:r>
      <w:bookmarkEnd w:id="78"/>
    </w:p>
    <w:p>
      <w:pPr>
        <w:spacing w:line="360" w:lineRule="auto"/>
        <w:ind w:firstLine="560" w:firstLineChars="200"/>
        <w:rPr>
          <w:rFonts w:eastAsiaTheme="minorEastAsia"/>
          <w:sz w:val="28"/>
          <w:szCs w:val="28"/>
        </w:rPr>
      </w:pPr>
      <w:r>
        <w:rPr>
          <w:rFonts w:hint="eastAsia" w:eastAsiaTheme="minorEastAsia"/>
          <w:sz w:val="28"/>
          <w:szCs w:val="28"/>
        </w:rPr>
        <w:t>宿州市永久基本农田保护区数据库</w:t>
      </w:r>
    </w:p>
    <w:p>
      <w:pPr>
        <w:pStyle w:val="25"/>
        <w:spacing w:before="156" w:after="156"/>
        <w:ind w:left="0" w:leftChars="0"/>
      </w:pPr>
      <w:bookmarkStart w:id="79" w:name="_Toc84536518"/>
      <w:bookmarkStart w:id="80" w:name="_Toc38706713"/>
      <w:bookmarkStart w:id="81" w:name="_Toc38913541"/>
      <w:r>
        <w:rPr>
          <w:rFonts w:hint="eastAsia"/>
        </w:rPr>
        <w:t>2.2.5 非建成区（生态空间）</w:t>
      </w:r>
      <w:bookmarkEnd w:id="79"/>
      <w:bookmarkEnd w:id="80"/>
      <w:bookmarkEnd w:id="81"/>
    </w:p>
    <w:p>
      <w:pPr>
        <w:spacing w:line="360" w:lineRule="auto"/>
        <w:ind w:firstLine="560" w:firstLineChars="200"/>
        <w:rPr>
          <w:rFonts w:eastAsiaTheme="minorEastAsia"/>
          <w:sz w:val="28"/>
          <w:szCs w:val="28"/>
        </w:rPr>
      </w:pPr>
      <w:r>
        <w:rPr>
          <w:rFonts w:hint="eastAsia" w:eastAsiaTheme="minorEastAsia"/>
          <w:sz w:val="28"/>
          <w:szCs w:val="28"/>
        </w:rPr>
        <w:t>指大运河两岸2 km范围内非建成区内的优化滨河生态空间区域。</w:t>
      </w:r>
    </w:p>
    <w:p>
      <w:pPr>
        <w:pStyle w:val="6"/>
        <w:spacing w:before="62" w:after="62"/>
        <w:rPr>
          <w:rFonts w:ascii="Times New Roman" w:hAnsi="Times New Roman"/>
        </w:rPr>
      </w:pPr>
      <w:bookmarkStart w:id="82" w:name="_Toc38913542"/>
      <w:bookmarkStart w:id="83" w:name="_Toc38706714"/>
      <w:r>
        <w:rPr>
          <w:rFonts w:hint="eastAsia" w:ascii="Times New Roman" w:hAnsi="Times New Roman" w:eastAsiaTheme="minorEastAsia"/>
        </w:rPr>
        <w:t>2.2.5.</w:t>
      </w:r>
      <w:r>
        <w:rPr>
          <w:rFonts w:hint="eastAsia" w:ascii="Times New Roman" w:hAnsi="Times New Roman"/>
        </w:rPr>
        <w:t>1</w:t>
      </w:r>
      <w:r>
        <w:rPr>
          <w:rFonts w:hint="eastAsia" w:ascii="Times New Roman" w:hAnsi="Times New Roman" w:eastAsiaTheme="minorEastAsia"/>
        </w:rPr>
        <w:t xml:space="preserve"> </w:t>
      </w:r>
      <w:r>
        <w:rPr>
          <w:rFonts w:hint="eastAsia" w:asciiTheme="minorEastAsia" w:hAnsiTheme="minorEastAsia" w:eastAsiaTheme="minorEastAsia"/>
        </w:rPr>
        <w:t>管控措施</w:t>
      </w:r>
      <w:bookmarkEnd w:id="82"/>
      <w:bookmarkEnd w:id="83"/>
    </w:p>
    <w:p>
      <w:pPr>
        <w:spacing w:line="360" w:lineRule="auto"/>
        <w:ind w:firstLine="560" w:firstLineChars="200"/>
        <w:rPr>
          <w:rFonts w:eastAsiaTheme="minorEastAsia"/>
          <w:sz w:val="28"/>
          <w:szCs w:val="28"/>
        </w:rPr>
      </w:pPr>
      <w:r>
        <w:rPr>
          <w:rFonts w:hint="eastAsia" w:eastAsiaTheme="minorEastAsia"/>
          <w:sz w:val="28"/>
          <w:szCs w:val="28"/>
        </w:rPr>
        <w:t>（1）优化滨河生态空间和自然水生态系统。</w:t>
      </w:r>
    </w:p>
    <w:p>
      <w:pPr>
        <w:spacing w:line="360" w:lineRule="auto"/>
        <w:ind w:firstLine="560" w:firstLineChars="200"/>
        <w:rPr>
          <w:rFonts w:eastAsiaTheme="minorEastAsia"/>
          <w:sz w:val="28"/>
          <w:szCs w:val="28"/>
        </w:rPr>
      </w:pPr>
      <w:r>
        <w:rPr>
          <w:rFonts w:hint="eastAsia" w:eastAsiaTheme="minorEastAsia"/>
          <w:sz w:val="28"/>
          <w:szCs w:val="28"/>
        </w:rPr>
        <w:t>（2）开展农用地整理。</w:t>
      </w:r>
    </w:p>
    <w:p>
      <w:pPr>
        <w:spacing w:line="360" w:lineRule="auto"/>
        <w:ind w:firstLine="560" w:firstLineChars="200"/>
        <w:rPr>
          <w:rFonts w:eastAsiaTheme="minorEastAsia"/>
          <w:sz w:val="28"/>
          <w:szCs w:val="28"/>
        </w:rPr>
      </w:pPr>
      <w:r>
        <w:rPr>
          <w:rFonts w:hint="eastAsia" w:eastAsiaTheme="minorEastAsia"/>
          <w:sz w:val="28"/>
          <w:szCs w:val="28"/>
        </w:rPr>
        <w:t>（3）精细管理非公益建设用地，实行建设项目正面清单管理，进入正面清单的项目才可以获准实施。</w:t>
      </w:r>
    </w:p>
    <w:p>
      <w:pPr>
        <w:spacing w:line="360" w:lineRule="auto"/>
        <w:ind w:firstLine="560" w:firstLineChars="200"/>
        <w:rPr>
          <w:rFonts w:eastAsiaTheme="minorEastAsia"/>
          <w:sz w:val="28"/>
          <w:szCs w:val="28"/>
        </w:rPr>
      </w:pPr>
      <w:r>
        <w:rPr>
          <w:rFonts w:hint="eastAsia" w:eastAsiaTheme="minorEastAsia"/>
          <w:sz w:val="28"/>
          <w:szCs w:val="28"/>
        </w:rPr>
        <w:t>（4）市政配套基础设施已建成，房屋建设工程完成开发投资总额的25%以上，且对大运河保护没有不良影响，经市政府批准，可按照建成区政策执行，并纳入下一年度的建成区范围。</w:t>
      </w:r>
    </w:p>
    <w:p>
      <w:pPr>
        <w:spacing w:line="360" w:lineRule="auto"/>
        <w:ind w:firstLine="560" w:firstLineChars="200"/>
        <w:rPr>
          <w:rFonts w:eastAsiaTheme="minorEastAsia"/>
          <w:sz w:val="28"/>
          <w:szCs w:val="28"/>
        </w:rPr>
      </w:pPr>
      <w:r>
        <w:rPr>
          <w:rFonts w:hint="eastAsia" w:eastAsiaTheme="minorEastAsia"/>
          <w:sz w:val="28"/>
          <w:szCs w:val="28"/>
        </w:rPr>
        <w:t>（5）因地制宜建设湿地公园、森林公园和郊野公园等生态空间，其间合理规划、建设健身步道等休闲体育设施。</w:t>
      </w:r>
    </w:p>
    <w:p>
      <w:pPr>
        <w:pStyle w:val="6"/>
        <w:spacing w:before="62" w:after="62"/>
        <w:rPr>
          <w:rFonts w:ascii="Times New Roman" w:hAnsi="Times New Roman"/>
        </w:rPr>
      </w:pPr>
      <w:bookmarkStart w:id="84" w:name="_Toc38913543"/>
      <w:bookmarkStart w:id="85" w:name="_Toc38706715"/>
      <w:r>
        <w:rPr>
          <w:rFonts w:hint="eastAsia" w:ascii="Times New Roman" w:hAnsi="Times New Roman" w:eastAsiaTheme="minorEastAsia"/>
        </w:rPr>
        <w:t>2.2.5.</w:t>
      </w:r>
      <w:r>
        <w:rPr>
          <w:rFonts w:hint="eastAsia" w:ascii="Times New Roman" w:hAnsi="Times New Roman"/>
        </w:rPr>
        <w:t>2</w:t>
      </w:r>
      <w:r>
        <w:rPr>
          <w:rFonts w:hint="eastAsia" w:ascii="Times New Roman" w:hAnsi="Times New Roman" w:eastAsiaTheme="minorEastAsia"/>
        </w:rPr>
        <w:t xml:space="preserve"> </w:t>
      </w:r>
      <w:r>
        <w:rPr>
          <w:rFonts w:hint="eastAsia" w:ascii="Times New Roman" w:hAnsi="Times New Roman"/>
        </w:rPr>
        <w:t>制定依据</w:t>
      </w:r>
      <w:bookmarkEnd w:id="84"/>
      <w:bookmarkEnd w:id="85"/>
    </w:p>
    <w:p>
      <w:pPr>
        <w:spacing w:line="360" w:lineRule="auto"/>
        <w:ind w:firstLine="560" w:firstLineChars="200"/>
        <w:rPr>
          <w:rFonts w:eastAsiaTheme="minorEastAsia"/>
          <w:sz w:val="28"/>
          <w:szCs w:val="28"/>
        </w:rPr>
      </w:pPr>
      <w:r>
        <w:rPr>
          <w:rFonts w:hint="eastAsia" w:eastAsiaTheme="minorEastAsia"/>
          <w:sz w:val="28"/>
          <w:szCs w:val="28"/>
        </w:rPr>
        <w:t>（1）《中共安徽省委办公厅安徽省人民政府办公厅关于印发&lt;安徽省大运河文化保护传承利用实施规划&gt;的通知》（皖办发〔2019〕21号）。</w:t>
      </w:r>
    </w:p>
    <w:p>
      <w:pPr>
        <w:spacing w:line="360" w:lineRule="auto"/>
        <w:ind w:firstLine="560" w:firstLineChars="200"/>
        <w:rPr>
          <w:rFonts w:eastAsiaTheme="minorEastAsia"/>
          <w:sz w:val="28"/>
          <w:szCs w:val="28"/>
        </w:rPr>
      </w:pPr>
      <w:r>
        <w:rPr>
          <w:rFonts w:hint="eastAsia" w:eastAsiaTheme="minorEastAsia"/>
          <w:sz w:val="28"/>
          <w:szCs w:val="28"/>
        </w:rPr>
        <w:t>（2）《安徽省人民政府关于公布部分省级以上文物保护单位保护范围和建设控制地带的通知》（皖政秘〔2019〕68号）。</w:t>
      </w:r>
    </w:p>
    <w:p>
      <w:pPr>
        <w:spacing w:line="360" w:lineRule="auto"/>
        <w:ind w:firstLine="560" w:firstLineChars="200"/>
        <w:rPr>
          <w:rFonts w:eastAsiaTheme="minorEastAsia"/>
          <w:sz w:val="28"/>
          <w:szCs w:val="28"/>
        </w:rPr>
      </w:pPr>
      <w:r>
        <w:rPr>
          <w:rFonts w:hint="eastAsia" w:eastAsiaTheme="minorEastAsia"/>
          <w:sz w:val="28"/>
          <w:szCs w:val="28"/>
        </w:rPr>
        <w:t>（3）《大运河遗产（安徽段）保护规划（2011-2030）》。</w:t>
      </w:r>
    </w:p>
    <w:p>
      <w:pPr>
        <w:spacing w:line="360" w:lineRule="auto"/>
        <w:ind w:firstLine="560" w:firstLineChars="200"/>
        <w:rPr>
          <w:rFonts w:eastAsiaTheme="minorEastAsia"/>
          <w:sz w:val="28"/>
          <w:szCs w:val="28"/>
        </w:rPr>
      </w:pPr>
      <w:r>
        <w:rPr>
          <w:rFonts w:hint="eastAsia" w:eastAsiaTheme="minorEastAsia"/>
          <w:sz w:val="28"/>
          <w:szCs w:val="28"/>
        </w:rPr>
        <w:t>（4）《宿州市土地利用总体规划（2006-2020）年调整完善》。</w:t>
      </w:r>
    </w:p>
    <w:p>
      <w:pPr>
        <w:spacing w:line="360" w:lineRule="auto"/>
        <w:ind w:firstLine="560" w:firstLineChars="200"/>
        <w:rPr>
          <w:rFonts w:eastAsiaTheme="minorEastAsia"/>
          <w:sz w:val="28"/>
          <w:szCs w:val="28"/>
        </w:rPr>
      </w:pPr>
      <w:r>
        <w:rPr>
          <w:rFonts w:hint="eastAsia" w:eastAsiaTheme="minorEastAsia"/>
          <w:sz w:val="28"/>
          <w:szCs w:val="28"/>
        </w:rPr>
        <w:t>（5）《宿州市城市总体规划（2012-2030）》。</w:t>
      </w:r>
    </w:p>
    <w:p>
      <w:pPr>
        <w:pStyle w:val="6"/>
        <w:spacing w:before="62" w:after="62"/>
        <w:rPr>
          <w:rFonts w:ascii="Times New Roman" w:hAnsi="Times New Roman"/>
        </w:rPr>
      </w:pPr>
      <w:bookmarkStart w:id="86" w:name="_Toc38913544"/>
      <w:r>
        <w:rPr>
          <w:rFonts w:hint="eastAsia" w:ascii="Times New Roman" w:hAnsi="Times New Roman" w:eastAsiaTheme="minorEastAsia"/>
        </w:rPr>
        <w:t>2.2.5.</w:t>
      </w:r>
      <w:r>
        <w:rPr>
          <w:rFonts w:hint="eastAsia" w:ascii="Times New Roman" w:hAnsi="Times New Roman"/>
        </w:rPr>
        <w:t>3</w:t>
      </w:r>
      <w:r>
        <w:rPr>
          <w:rFonts w:hint="eastAsia" w:ascii="Times New Roman" w:hAnsi="Times New Roman" w:eastAsiaTheme="minorEastAsia"/>
        </w:rPr>
        <w:t xml:space="preserve"> </w:t>
      </w:r>
      <w:r>
        <w:rPr>
          <w:rFonts w:hint="eastAsia" w:asciiTheme="minorEastAsia" w:hAnsiTheme="minorEastAsia" w:eastAsiaTheme="minorEastAsia"/>
        </w:rPr>
        <w:t>参考数据</w:t>
      </w:r>
      <w:bookmarkEnd w:id="86"/>
    </w:p>
    <w:p>
      <w:pPr>
        <w:spacing w:line="360" w:lineRule="auto"/>
        <w:ind w:firstLine="560" w:firstLineChars="200"/>
        <w:rPr>
          <w:rFonts w:eastAsiaTheme="minorEastAsia"/>
          <w:sz w:val="28"/>
          <w:szCs w:val="28"/>
        </w:rPr>
      </w:pPr>
      <w:r>
        <w:rPr>
          <w:rFonts w:hint="eastAsia" w:eastAsiaTheme="minorEastAsia"/>
          <w:sz w:val="28"/>
          <w:szCs w:val="28"/>
        </w:rPr>
        <w:t>宿州市永久基本农田保护区数据库。</w:t>
      </w:r>
    </w:p>
    <w:p>
      <w:pPr>
        <w:pStyle w:val="25"/>
        <w:spacing w:before="156" w:after="156"/>
        <w:ind w:left="0" w:leftChars="0"/>
      </w:pPr>
      <w:bookmarkStart w:id="87" w:name="_Toc38706716"/>
      <w:bookmarkStart w:id="88" w:name="_Toc84536519"/>
      <w:bookmarkStart w:id="89" w:name="_Toc38913545"/>
      <w:r>
        <w:rPr>
          <w:rFonts w:hint="eastAsia"/>
        </w:rPr>
        <w:t>2.2.6 非建成区（农业空间）</w:t>
      </w:r>
      <w:bookmarkEnd w:id="87"/>
      <w:bookmarkEnd w:id="88"/>
      <w:bookmarkEnd w:id="89"/>
    </w:p>
    <w:p>
      <w:pPr>
        <w:pStyle w:val="6"/>
        <w:spacing w:before="62" w:after="62"/>
        <w:rPr>
          <w:rFonts w:ascii="Times New Roman" w:hAnsi="Times New Roman"/>
        </w:rPr>
      </w:pPr>
      <w:bookmarkStart w:id="90" w:name="_Toc38706717"/>
      <w:bookmarkStart w:id="91" w:name="_Toc38913546"/>
      <w:r>
        <w:rPr>
          <w:rFonts w:hint="eastAsia" w:ascii="Times New Roman" w:hAnsi="Times New Roman" w:eastAsiaTheme="minorEastAsia"/>
        </w:rPr>
        <w:t>2.2.6.</w:t>
      </w:r>
      <w:r>
        <w:rPr>
          <w:rFonts w:hint="eastAsia" w:ascii="Times New Roman" w:hAnsi="Times New Roman"/>
        </w:rPr>
        <w:t>1</w:t>
      </w:r>
      <w:r>
        <w:rPr>
          <w:rFonts w:hint="eastAsia" w:ascii="Times New Roman" w:hAnsi="Times New Roman" w:eastAsiaTheme="minorEastAsia"/>
        </w:rPr>
        <w:t xml:space="preserve"> </w:t>
      </w:r>
      <w:r>
        <w:rPr>
          <w:rFonts w:hint="eastAsia" w:ascii="宋体" w:hAnsi="宋体" w:eastAsia="宋体"/>
        </w:rPr>
        <w:t>管控措施</w:t>
      </w:r>
      <w:bookmarkEnd w:id="90"/>
      <w:bookmarkEnd w:id="91"/>
    </w:p>
    <w:p>
      <w:pPr>
        <w:spacing w:line="360" w:lineRule="auto"/>
        <w:ind w:firstLine="560" w:firstLineChars="200"/>
        <w:rPr>
          <w:rFonts w:eastAsiaTheme="minorEastAsia"/>
          <w:sz w:val="28"/>
          <w:szCs w:val="28"/>
        </w:rPr>
      </w:pPr>
      <w:r>
        <w:rPr>
          <w:rFonts w:hint="eastAsia" w:eastAsiaTheme="minorEastAsia"/>
          <w:sz w:val="28"/>
          <w:szCs w:val="28"/>
        </w:rPr>
        <w:t>指大运河两岸2 km范围内非建成区内的农业空间区域。</w:t>
      </w:r>
    </w:p>
    <w:p>
      <w:pPr>
        <w:spacing w:line="360" w:lineRule="auto"/>
        <w:ind w:firstLine="560" w:firstLineChars="200"/>
        <w:rPr>
          <w:rFonts w:eastAsiaTheme="minorEastAsia"/>
          <w:sz w:val="28"/>
          <w:szCs w:val="28"/>
        </w:rPr>
      </w:pPr>
      <w:r>
        <w:rPr>
          <w:rFonts w:hint="eastAsia" w:eastAsiaTheme="minorEastAsia"/>
          <w:sz w:val="28"/>
          <w:szCs w:val="28"/>
        </w:rPr>
        <w:t>（1）优化滨河农业空间和自然水生态系统。</w:t>
      </w:r>
    </w:p>
    <w:p>
      <w:pPr>
        <w:spacing w:line="360" w:lineRule="auto"/>
        <w:ind w:firstLine="560" w:firstLineChars="200"/>
        <w:rPr>
          <w:rFonts w:eastAsiaTheme="minorEastAsia"/>
          <w:sz w:val="28"/>
          <w:szCs w:val="28"/>
        </w:rPr>
      </w:pPr>
      <w:r>
        <w:rPr>
          <w:rFonts w:hint="eastAsia" w:eastAsiaTheme="minorEastAsia"/>
          <w:sz w:val="28"/>
          <w:szCs w:val="28"/>
        </w:rPr>
        <w:t>（2）开展农用地整理。</w:t>
      </w:r>
    </w:p>
    <w:p>
      <w:pPr>
        <w:spacing w:line="360" w:lineRule="auto"/>
        <w:ind w:firstLine="560" w:firstLineChars="200"/>
        <w:rPr>
          <w:rFonts w:eastAsiaTheme="minorEastAsia"/>
          <w:sz w:val="28"/>
          <w:szCs w:val="28"/>
        </w:rPr>
      </w:pPr>
      <w:r>
        <w:rPr>
          <w:rFonts w:hint="eastAsia" w:eastAsiaTheme="minorEastAsia"/>
          <w:sz w:val="28"/>
          <w:szCs w:val="28"/>
        </w:rPr>
        <w:t>（3）精细管理非公益建设用地，实行建设项目正面清单管理，进入正面清单的项目才可以获准实施。</w:t>
      </w:r>
    </w:p>
    <w:p>
      <w:pPr>
        <w:spacing w:line="360" w:lineRule="auto"/>
        <w:ind w:firstLine="560" w:firstLineChars="200"/>
        <w:rPr>
          <w:rFonts w:eastAsiaTheme="minorEastAsia"/>
          <w:sz w:val="28"/>
          <w:szCs w:val="28"/>
        </w:rPr>
      </w:pPr>
      <w:r>
        <w:rPr>
          <w:rFonts w:hint="eastAsia" w:eastAsiaTheme="minorEastAsia"/>
          <w:sz w:val="28"/>
          <w:szCs w:val="28"/>
        </w:rPr>
        <w:t>（4）市政配套基础设施已建成，房屋建设工程完成开发投资总额的25%以上，且对大运河保护没有不良影响，经市政府批准，可按照建成区政策执行，并纳入下一年度的建成区范围。</w:t>
      </w:r>
    </w:p>
    <w:p>
      <w:pPr>
        <w:spacing w:line="360" w:lineRule="auto"/>
        <w:ind w:firstLine="560" w:firstLineChars="200"/>
        <w:rPr>
          <w:rFonts w:eastAsiaTheme="minorEastAsia"/>
          <w:sz w:val="28"/>
          <w:szCs w:val="28"/>
        </w:rPr>
      </w:pPr>
      <w:r>
        <w:rPr>
          <w:rFonts w:hint="eastAsia" w:eastAsiaTheme="minorEastAsia"/>
          <w:sz w:val="28"/>
          <w:szCs w:val="28"/>
        </w:rPr>
        <w:t>（5）因地制宜建设观赏林、古柳修复景观等农业空间，其间合理规划、建设健身步道等休闲体育设施。</w:t>
      </w:r>
    </w:p>
    <w:p>
      <w:pPr>
        <w:pStyle w:val="6"/>
        <w:spacing w:before="62" w:after="62"/>
        <w:rPr>
          <w:rFonts w:ascii="Times New Roman" w:hAnsi="Times New Roman"/>
        </w:rPr>
      </w:pPr>
      <w:bookmarkStart w:id="92" w:name="_Toc38913547"/>
      <w:bookmarkStart w:id="93" w:name="_Toc38706718"/>
      <w:r>
        <w:rPr>
          <w:rFonts w:hint="eastAsia" w:ascii="Times New Roman" w:hAnsi="Times New Roman" w:eastAsiaTheme="minorEastAsia"/>
        </w:rPr>
        <w:t>2.2.6.</w:t>
      </w:r>
      <w:r>
        <w:rPr>
          <w:rFonts w:hint="eastAsia" w:ascii="Times New Roman" w:hAnsi="Times New Roman"/>
        </w:rPr>
        <w:t>2</w:t>
      </w:r>
      <w:r>
        <w:rPr>
          <w:rFonts w:hint="eastAsia" w:ascii="Times New Roman" w:hAnsi="Times New Roman" w:eastAsiaTheme="minorEastAsia"/>
        </w:rPr>
        <w:t xml:space="preserve"> </w:t>
      </w:r>
      <w:r>
        <w:rPr>
          <w:rFonts w:hint="eastAsia" w:ascii="宋体" w:hAnsi="宋体" w:eastAsia="宋体"/>
        </w:rPr>
        <w:t>制定依据</w:t>
      </w:r>
      <w:bookmarkEnd w:id="92"/>
      <w:bookmarkEnd w:id="93"/>
    </w:p>
    <w:p>
      <w:pPr>
        <w:spacing w:line="360" w:lineRule="auto"/>
        <w:ind w:firstLine="560" w:firstLineChars="200"/>
        <w:rPr>
          <w:rFonts w:eastAsiaTheme="minorEastAsia"/>
          <w:sz w:val="28"/>
          <w:szCs w:val="28"/>
        </w:rPr>
      </w:pPr>
      <w:r>
        <w:rPr>
          <w:rFonts w:hint="eastAsia" w:eastAsiaTheme="minorEastAsia"/>
          <w:sz w:val="28"/>
          <w:szCs w:val="28"/>
        </w:rPr>
        <w:t>（1）《中共安徽省委办公厅安徽省人民政府办公厅关于印发&lt;安徽省大运河文化保护传承利用实施规划&gt;的通知》（皖办发〔2019〕21号）。</w:t>
      </w:r>
    </w:p>
    <w:p>
      <w:pPr>
        <w:spacing w:line="360" w:lineRule="auto"/>
        <w:ind w:firstLine="560" w:firstLineChars="200"/>
        <w:rPr>
          <w:rFonts w:eastAsiaTheme="minorEastAsia"/>
          <w:sz w:val="28"/>
          <w:szCs w:val="28"/>
        </w:rPr>
      </w:pPr>
      <w:r>
        <w:rPr>
          <w:rFonts w:hint="eastAsia" w:eastAsiaTheme="minorEastAsia"/>
          <w:sz w:val="28"/>
          <w:szCs w:val="28"/>
        </w:rPr>
        <w:t>（2）《大运河遗产（安徽段）保护规划（2011-2030）》。</w:t>
      </w:r>
    </w:p>
    <w:p>
      <w:pPr>
        <w:spacing w:line="360" w:lineRule="auto"/>
        <w:ind w:firstLine="560" w:firstLineChars="200"/>
        <w:rPr>
          <w:rFonts w:eastAsiaTheme="minorEastAsia"/>
          <w:sz w:val="28"/>
          <w:szCs w:val="28"/>
        </w:rPr>
      </w:pPr>
      <w:r>
        <w:rPr>
          <w:rFonts w:hint="eastAsia" w:eastAsiaTheme="minorEastAsia"/>
          <w:sz w:val="28"/>
          <w:szCs w:val="28"/>
        </w:rPr>
        <w:t>（3）《宿州市土地利用总体规划（2006-2020）年调整完善》。</w:t>
      </w:r>
    </w:p>
    <w:p>
      <w:pPr>
        <w:pStyle w:val="6"/>
        <w:spacing w:before="62" w:after="62"/>
        <w:rPr>
          <w:rFonts w:ascii="Times New Roman" w:hAnsi="Times New Roman"/>
        </w:rPr>
      </w:pPr>
      <w:bookmarkStart w:id="94" w:name="_Toc38913548"/>
      <w:r>
        <w:rPr>
          <w:rFonts w:hint="eastAsia" w:ascii="Times New Roman" w:hAnsi="Times New Roman" w:eastAsiaTheme="minorEastAsia"/>
        </w:rPr>
        <w:t>2.2.6.</w:t>
      </w:r>
      <w:r>
        <w:rPr>
          <w:rFonts w:hint="eastAsia" w:ascii="Times New Roman" w:hAnsi="Times New Roman"/>
        </w:rPr>
        <w:t>3</w:t>
      </w:r>
      <w:r>
        <w:rPr>
          <w:rFonts w:hint="eastAsia" w:ascii="Times New Roman" w:hAnsi="Times New Roman" w:eastAsiaTheme="minorEastAsia"/>
        </w:rPr>
        <w:t xml:space="preserve"> </w:t>
      </w:r>
      <w:r>
        <w:rPr>
          <w:rFonts w:hint="eastAsia" w:ascii="宋体" w:hAnsi="宋体" w:eastAsia="宋体"/>
        </w:rPr>
        <w:t>参考数据</w:t>
      </w:r>
      <w:bookmarkEnd w:id="94"/>
    </w:p>
    <w:p>
      <w:pPr>
        <w:spacing w:line="360" w:lineRule="auto"/>
        <w:ind w:firstLine="560" w:firstLineChars="200"/>
        <w:rPr>
          <w:rFonts w:eastAsiaTheme="minorEastAsia"/>
          <w:sz w:val="28"/>
          <w:szCs w:val="28"/>
        </w:rPr>
      </w:pPr>
      <w:r>
        <w:rPr>
          <w:rFonts w:hint="eastAsia" w:eastAsiaTheme="minorEastAsia"/>
          <w:sz w:val="28"/>
          <w:szCs w:val="28"/>
        </w:rPr>
        <w:t>宿州市永久基本农田保护区数据库</w:t>
      </w:r>
    </w:p>
    <w:p>
      <w:pPr>
        <w:pStyle w:val="25"/>
        <w:spacing w:before="156" w:after="156"/>
        <w:ind w:left="0" w:leftChars="0"/>
      </w:pPr>
      <w:bookmarkStart w:id="95" w:name="_Toc38913549"/>
      <w:bookmarkStart w:id="96" w:name="_Toc84536520"/>
      <w:bookmarkStart w:id="97" w:name="_Toc38706719"/>
      <w:r>
        <w:rPr>
          <w:rFonts w:hint="eastAsia"/>
        </w:rPr>
        <w:t>2.2.7 建成区（村庄空间）</w:t>
      </w:r>
      <w:bookmarkEnd w:id="95"/>
      <w:bookmarkEnd w:id="96"/>
      <w:bookmarkEnd w:id="97"/>
    </w:p>
    <w:p>
      <w:pPr>
        <w:spacing w:line="360" w:lineRule="auto"/>
        <w:ind w:firstLine="560" w:firstLineChars="200"/>
        <w:rPr>
          <w:rFonts w:eastAsiaTheme="minorEastAsia"/>
          <w:sz w:val="28"/>
          <w:szCs w:val="28"/>
        </w:rPr>
      </w:pPr>
      <w:r>
        <w:rPr>
          <w:rFonts w:hint="eastAsia" w:eastAsiaTheme="minorEastAsia"/>
          <w:color w:val="000000" w:themeColor="text1"/>
          <w:sz w:val="28"/>
          <w:szCs w:val="28"/>
          <w14:textFill>
            <w14:solidFill>
              <w14:schemeClr w14:val="tx1"/>
            </w14:solidFill>
          </w14:textFill>
        </w:rPr>
        <w:t>指大运河两岸2 km范围内建成区内</w:t>
      </w:r>
      <w:r>
        <w:rPr>
          <w:rFonts w:hint="eastAsia" w:eastAsiaTheme="minorEastAsia"/>
          <w:sz w:val="28"/>
          <w:szCs w:val="28"/>
        </w:rPr>
        <w:t>的村庄空间区域。同时应当符合皖政秘〔2019〕68号《安徽省人民政府关于公布部分省级以上文物保护单位保护范围和建设控制地带的通知》相关规定。</w:t>
      </w:r>
    </w:p>
    <w:p>
      <w:pPr>
        <w:pStyle w:val="6"/>
        <w:spacing w:before="62" w:after="62"/>
        <w:rPr>
          <w:rFonts w:ascii="Times New Roman" w:hAnsi="Times New Roman"/>
        </w:rPr>
      </w:pPr>
      <w:bookmarkStart w:id="98" w:name="_Toc38913550"/>
      <w:bookmarkStart w:id="99" w:name="_Toc38706720"/>
      <w:r>
        <w:rPr>
          <w:rFonts w:hint="eastAsia" w:ascii="Times New Roman" w:hAnsi="Times New Roman" w:eastAsiaTheme="minorEastAsia"/>
        </w:rPr>
        <w:t>2.2.7.</w:t>
      </w:r>
      <w:r>
        <w:rPr>
          <w:rFonts w:hint="eastAsia" w:ascii="Times New Roman" w:hAnsi="Times New Roman"/>
        </w:rPr>
        <w:t>1</w:t>
      </w:r>
      <w:r>
        <w:rPr>
          <w:rFonts w:hint="eastAsia" w:ascii="Times New Roman" w:hAnsi="Times New Roman" w:eastAsiaTheme="minorEastAsia"/>
        </w:rPr>
        <w:t xml:space="preserve"> </w:t>
      </w:r>
      <w:r>
        <w:rPr>
          <w:rFonts w:hint="eastAsia" w:ascii="宋体" w:hAnsi="宋体" w:eastAsia="宋体"/>
        </w:rPr>
        <w:t>管控措施</w:t>
      </w:r>
      <w:bookmarkEnd w:id="98"/>
      <w:bookmarkEnd w:id="99"/>
    </w:p>
    <w:p>
      <w:pPr>
        <w:spacing w:line="360" w:lineRule="auto"/>
        <w:ind w:firstLine="560" w:firstLineChars="200"/>
        <w:rPr>
          <w:rFonts w:eastAsiaTheme="minorEastAsia"/>
          <w:sz w:val="28"/>
          <w:szCs w:val="28"/>
        </w:rPr>
      </w:pPr>
      <w:r>
        <w:rPr>
          <w:rFonts w:hint="eastAsia" w:eastAsiaTheme="minorEastAsia"/>
          <w:sz w:val="28"/>
          <w:szCs w:val="28"/>
        </w:rPr>
        <w:t>（1）应充分利用存量建设用地，在建设用地规模不增加的前提下允许进行局部的布局优化调整，鼓励对闲置宅基地、空闲厂房等建设用地资源进行整合与利用。</w:t>
      </w:r>
    </w:p>
    <w:p>
      <w:pPr>
        <w:spacing w:line="360" w:lineRule="auto"/>
        <w:ind w:firstLine="560" w:firstLineChars="200"/>
        <w:rPr>
          <w:rFonts w:eastAsiaTheme="minorEastAsia"/>
          <w:sz w:val="28"/>
          <w:szCs w:val="28"/>
        </w:rPr>
      </w:pPr>
      <w:r>
        <w:rPr>
          <w:rFonts w:hint="eastAsia" w:eastAsiaTheme="minorEastAsia"/>
          <w:sz w:val="28"/>
          <w:szCs w:val="28"/>
        </w:rPr>
        <w:t>（2）整合的建设用地优先用于村公共设施、运河文化展示、休闲农业、乡村旅游、乡村康养、休闲体育，促进乡村振兴。</w:t>
      </w:r>
    </w:p>
    <w:p>
      <w:pPr>
        <w:spacing w:line="360" w:lineRule="auto"/>
        <w:ind w:firstLine="560" w:firstLineChars="200"/>
        <w:rPr>
          <w:rFonts w:eastAsiaTheme="minorEastAsia"/>
          <w:sz w:val="28"/>
          <w:szCs w:val="28"/>
        </w:rPr>
      </w:pPr>
      <w:r>
        <w:rPr>
          <w:rFonts w:hint="eastAsia" w:eastAsiaTheme="minorEastAsia"/>
          <w:sz w:val="28"/>
          <w:szCs w:val="28"/>
        </w:rPr>
        <w:t>（3）满足滨河生态空间村庄区有关管控要求。</w:t>
      </w:r>
    </w:p>
    <w:p>
      <w:pPr>
        <w:spacing w:line="360" w:lineRule="auto"/>
        <w:ind w:firstLine="560" w:firstLineChars="200"/>
        <w:rPr>
          <w:rFonts w:eastAsiaTheme="minorEastAsia"/>
          <w:sz w:val="28"/>
          <w:szCs w:val="28"/>
        </w:rPr>
      </w:pPr>
      <w:r>
        <w:rPr>
          <w:rFonts w:hint="eastAsia" w:eastAsiaTheme="minorEastAsia"/>
          <w:sz w:val="28"/>
          <w:szCs w:val="28"/>
        </w:rPr>
        <w:t>（4）整体实施乡村综合整治。</w:t>
      </w:r>
    </w:p>
    <w:p>
      <w:pPr>
        <w:spacing w:line="360" w:lineRule="auto"/>
        <w:ind w:firstLine="560" w:firstLineChars="200"/>
        <w:rPr>
          <w:rFonts w:eastAsiaTheme="minorEastAsia"/>
          <w:sz w:val="28"/>
          <w:szCs w:val="28"/>
        </w:rPr>
      </w:pPr>
      <w:r>
        <w:rPr>
          <w:rFonts w:hint="eastAsia" w:eastAsiaTheme="minorEastAsia"/>
          <w:sz w:val="28"/>
          <w:szCs w:val="28"/>
        </w:rPr>
        <w:t>（5）精细管理非公益村庄建设用地。</w:t>
      </w:r>
    </w:p>
    <w:p>
      <w:pPr>
        <w:spacing w:line="360" w:lineRule="auto"/>
        <w:ind w:firstLine="560" w:firstLineChars="200"/>
        <w:rPr>
          <w:rFonts w:eastAsiaTheme="minorEastAsia"/>
          <w:sz w:val="28"/>
          <w:szCs w:val="28"/>
        </w:rPr>
      </w:pPr>
      <w:r>
        <w:rPr>
          <w:rFonts w:hint="eastAsia" w:eastAsiaTheme="minorEastAsia"/>
          <w:sz w:val="28"/>
          <w:szCs w:val="28"/>
        </w:rPr>
        <w:t>（6）强化自然生态修复和改善，提升自然生态功能和产业服务价值。</w:t>
      </w:r>
    </w:p>
    <w:p>
      <w:pPr>
        <w:spacing w:line="360" w:lineRule="auto"/>
        <w:ind w:firstLine="560" w:firstLineChars="200"/>
        <w:rPr>
          <w:rFonts w:eastAsiaTheme="minorEastAsia"/>
          <w:sz w:val="28"/>
          <w:szCs w:val="28"/>
        </w:rPr>
      </w:pPr>
      <w:r>
        <w:rPr>
          <w:rFonts w:hint="eastAsia" w:eastAsiaTheme="minorEastAsia"/>
          <w:sz w:val="28"/>
          <w:szCs w:val="28"/>
        </w:rPr>
        <w:t>（7）保护传承村庄传统文化和风貌。</w:t>
      </w:r>
    </w:p>
    <w:p>
      <w:pPr>
        <w:pStyle w:val="6"/>
        <w:spacing w:before="62" w:after="62"/>
        <w:rPr>
          <w:rFonts w:ascii="Times New Roman" w:hAnsi="Times New Roman"/>
        </w:rPr>
      </w:pPr>
      <w:bookmarkStart w:id="100" w:name="_Toc38706721"/>
      <w:bookmarkStart w:id="101" w:name="_Toc38913551"/>
      <w:r>
        <w:rPr>
          <w:rFonts w:hint="eastAsia" w:ascii="Times New Roman" w:hAnsi="Times New Roman" w:eastAsiaTheme="minorEastAsia"/>
        </w:rPr>
        <w:t>2.2.7.</w:t>
      </w:r>
      <w:r>
        <w:rPr>
          <w:rFonts w:hint="eastAsia" w:ascii="Times New Roman" w:hAnsi="Times New Roman"/>
        </w:rPr>
        <w:t xml:space="preserve">2 </w:t>
      </w:r>
      <w:r>
        <w:rPr>
          <w:rFonts w:hint="eastAsia" w:ascii="宋体" w:hAnsi="宋体" w:eastAsia="宋体"/>
        </w:rPr>
        <w:t>制定依据</w:t>
      </w:r>
      <w:bookmarkEnd w:id="100"/>
      <w:bookmarkEnd w:id="101"/>
    </w:p>
    <w:p>
      <w:pPr>
        <w:spacing w:line="360" w:lineRule="auto"/>
        <w:ind w:firstLine="560" w:firstLineChars="200"/>
        <w:rPr>
          <w:rFonts w:eastAsiaTheme="minorEastAsia"/>
          <w:sz w:val="28"/>
          <w:szCs w:val="28"/>
        </w:rPr>
      </w:pPr>
      <w:r>
        <w:rPr>
          <w:rFonts w:hint="eastAsia" w:eastAsiaTheme="minorEastAsia"/>
          <w:sz w:val="28"/>
          <w:szCs w:val="28"/>
        </w:rPr>
        <w:t>（1）《中共安徽省委办公厅安徽省人民政府办公厅关于印发&lt;安徽省大运河文化保护传承利用实施规划&gt;的通知》（皖办发〔2019〕21号）。</w:t>
      </w:r>
    </w:p>
    <w:p>
      <w:pPr>
        <w:spacing w:line="360" w:lineRule="auto"/>
        <w:ind w:firstLine="560" w:firstLineChars="200"/>
        <w:rPr>
          <w:rFonts w:eastAsiaTheme="minorEastAsia"/>
          <w:sz w:val="28"/>
          <w:szCs w:val="28"/>
        </w:rPr>
      </w:pPr>
      <w:r>
        <w:rPr>
          <w:rFonts w:hint="eastAsia" w:eastAsiaTheme="minorEastAsia"/>
          <w:sz w:val="28"/>
          <w:szCs w:val="28"/>
        </w:rPr>
        <w:t>（2）《安徽省人民政府关于公布部分省级以上文物保护单位保护范围和建设控制地带的通知》（皖政秘〔2019〕68号）。</w:t>
      </w:r>
    </w:p>
    <w:p>
      <w:pPr>
        <w:spacing w:line="360" w:lineRule="auto"/>
        <w:ind w:firstLine="560" w:firstLineChars="200"/>
        <w:rPr>
          <w:rFonts w:eastAsiaTheme="minorEastAsia"/>
          <w:sz w:val="28"/>
          <w:szCs w:val="28"/>
        </w:rPr>
      </w:pPr>
      <w:r>
        <w:rPr>
          <w:rFonts w:hint="eastAsia" w:eastAsiaTheme="minorEastAsia"/>
          <w:sz w:val="28"/>
          <w:szCs w:val="28"/>
        </w:rPr>
        <w:t>（3）《大运河遗产（安徽段）保护规划（2011-2030）》。</w:t>
      </w:r>
    </w:p>
    <w:p>
      <w:pPr>
        <w:pStyle w:val="6"/>
        <w:spacing w:before="62" w:after="62"/>
        <w:rPr>
          <w:rFonts w:ascii="Times New Roman" w:hAnsi="Times New Roman"/>
        </w:rPr>
      </w:pPr>
      <w:bookmarkStart w:id="102" w:name="_Toc38913552"/>
      <w:r>
        <w:rPr>
          <w:rFonts w:hint="eastAsia" w:ascii="Times New Roman" w:hAnsi="Times New Roman" w:eastAsiaTheme="minorEastAsia"/>
        </w:rPr>
        <w:t>2.2.7.</w:t>
      </w:r>
      <w:r>
        <w:rPr>
          <w:rFonts w:hint="eastAsia" w:ascii="Times New Roman" w:hAnsi="Times New Roman"/>
        </w:rPr>
        <w:t>3</w:t>
      </w:r>
      <w:r>
        <w:rPr>
          <w:rFonts w:hint="eastAsia" w:ascii="Times New Roman" w:hAnsi="Times New Roman" w:eastAsiaTheme="minorEastAsia"/>
        </w:rPr>
        <w:t xml:space="preserve"> </w:t>
      </w:r>
      <w:r>
        <w:rPr>
          <w:rFonts w:hint="eastAsia" w:ascii="宋体" w:hAnsi="宋体" w:eastAsia="宋体"/>
        </w:rPr>
        <w:t>参考数据</w:t>
      </w:r>
      <w:bookmarkEnd w:id="102"/>
    </w:p>
    <w:p>
      <w:pPr>
        <w:spacing w:line="360" w:lineRule="auto"/>
        <w:ind w:firstLine="560" w:firstLineChars="200"/>
        <w:rPr>
          <w:rFonts w:eastAsiaTheme="minorEastAsia"/>
          <w:sz w:val="28"/>
          <w:szCs w:val="28"/>
        </w:rPr>
      </w:pPr>
      <w:r>
        <w:rPr>
          <w:rFonts w:hint="eastAsia" w:eastAsiaTheme="minorEastAsia"/>
          <w:sz w:val="28"/>
          <w:szCs w:val="28"/>
        </w:rPr>
        <w:t>（1）宿州市第二次土地调查年度变更数据库。</w:t>
      </w:r>
    </w:p>
    <w:p>
      <w:pPr>
        <w:spacing w:line="360" w:lineRule="auto"/>
        <w:ind w:firstLine="560" w:firstLineChars="200"/>
        <w:rPr>
          <w:rFonts w:eastAsiaTheme="minorEastAsia"/>
          <w:sz w:val="28"/>
          <w:szCs w:val="28"/>
        </w:rPr>
      </w:pPr>
      <w:r>
        <w:rPr>
          <w:rFonts w:hint="eastAsia" w:eastAsiaTheme="minorEastAsia"/>
          <w:sz w:val="28"/>
          <w:szCs w:val="28"/>
        </w:rPr>
        <w:t>（2）宿州市第三次土地调查数据库。</w:t>
      </w:r>
    </w:p>
    <w:p>
      <w:pPr>
        <w:pStyle w:val="25"/>
        <w:spacing w:before="156" w:after="156"/>
        <w:ind w:left="0" w:leftChars="0"/>
      </w:pPr>
      <w:bookmarkStart w:id="103" w:name="_Toc84536521"/>
      <w:bookmarkStart w:id="104" w:name="_Toc38913553"/>
      <w:bookmarkStart w:id="105" w:name="_Toc38706722"/>
      <w:r>
        <w:rPr>
          <w:rFonts w:hint="eastAsia"/>
        </w:rPr>
        <w:t>2.2.8 建成区（城镇空间）</w:t>
      </w:r>
      <w:bookmarkEnd w:id="103"/>
      <w:bookmarkEnd w:id="104"/>
      <w:bookmarkEnd w:id="105"/>
    </w:p>
    <w:p>
      <w:pPr>
        <w:spacing w:line="360" w:lineRule="auto"/>
        <w:ind w:firstLine="560" w:firstLineChars="200"/>
        <w:rPr>
          <w:rFonts w:eastAsiaTheme="minorEastAsia"/>
          <w:sz w:val="28"/>
          <w:szCs w:val="28"/>
        </w:rPr>
      </w:pPr>
      <w:r>
        <w:rPr>
          <w:rFonts w:hint="eastAsia" w:eastAsiaTheme="minorEastAsia"/>
          <w:sz w:val="28"/>
          <w:szCs w:val="28"/>
        </w:rPr>
        <w:t>指大运河两岸2 km范围内建成区内的城镇空间区域。同时应当符合皖政秘〔2019〕68号《安徽省人民政府关于公布部分省级以上文物保护单位保护范围和建设控制地带的通知》相关规定。</w:t>
      </w:r>
    </w:p>
    <w:p>
      <w:pPr>
        <w:pStyle w:val="6"/>
        <w:spacing w:before="62" w:after="62"/>
        <w:rPr>
          <w:rFonts w:ascii="Times New Roman" w:hAnsi="Times New Roman"/>
        </w:rPr>
      </w:pPr>
      <w:bookmarkStart w:id="106" w:name="_Toc38913554"/>
      <w:bookmarkStart w:id="107" w:name="_Toc38706723"/>
      <w:r>
        <w:rPr>
          <w:rFonts w:hint="eastAsia" w:ascii="Times New Roman" w:hAnsi="Times New Roman" w:eastAsiaTheme="minorEastAsia"/>
        </w:rPr>
        <w:t>2.2.8.</w:t>
      </w:r>
      <w:r>
        <w:rPr>
          <w:rFonts w:hint="eastAsia" w:ascii="Times New Roman" w:hAnsi="Times New Roman"/>
        </w:rPr>
        <w:t>1</w:t>
      </w:r>
      <w:r>
        <w:rPr>
          <w:rFonts w:hint="eastAsia" w:ascii="Times New Roman" w:hAnsi="Times New Roman" w:eastAsiaTheme="minorEastAsia"/>
        </w:rPr>
        <w:t xml:space="preserve"> </w:t>
      </w:r>
      <w:r>
        <w:rPr>
          <w:rFonts w:hint="eastAsia" w:ascii="宋体" w:hAnsi="宋体" w:eastAsia="宋体"/>
        </w:rPr>
        <w:t>管控措施</w:t>
      </w:r>
      <w:bookmarkEnd w:id="106"/>
      <w:bookmarkEnd w:id="107"/>
    </w:p>
    <w:p>
      <w:pPr>
        <w:spacing w:line="360" w:lineRule="auto"/>
        <w:ind w:firstLine="560" w:firstLineChars="200"/>
        <w:rPr>
          <w:rFonts w:eastAsiaTheme="minorEastAsia"/>
          <w:sz w:val="28"/>
          <w:szCs w:val="28"/>
        </w:rPr>
      </w:pPr>
      <w:r>
        <w:rPr>
          <w:rFonts w:hint="eastAsia" w:eastAsiaTheme="minorEastAsia"/>
          <w:sz w:val="28"/>
          <w:szCs w:val="28"/>
        </w:rPr>
        <w:t>（1）国土空间实行正面清单准入管理。</w:t>
      </w:r>
    </w:p>
    <w:p>
      <w:pPr>
        <w:spacing w:line="360" w:lineRule="auto"/>
        <w:ind w:firstLine="560" w:firstLineChars="200"/>
        <w:rPr>
          <w:rFonts w:eastAsiaTheme="minorEastAsia"/>
          <w:sz w:val="28"/>
          <w:szCs w:val="28"/>
        </w:rPr>
      </w:pPr>
      <w:r>
        <w:rPr>
          <w:rFonts w:hint="eastAsia" w:eastAsiaTheme="minorEastAsia"/>
          <w:sz w:val="28"/>
          <w:szCs w:val="28"/>
        </w:rPr>
        <w:t>（2）强化规划管控，根据国家及省相关要求划定核心监控区，落实土地用途管制，符合规划和土地用途管制要求的拟建设项目和设施准许实施。</w:t>
      </w:r>
    </w:p>
    <w:p>
      <w:pPr>
        <w:spacing w:line="360" w:lineRule="auto"/>
        <w:ind w:firstLine="560" w:firstLineChars="200"/>
        <w:rPr>
          <w:rFonts w:eastAsiaTheme="minorEastAsia"/>
          <w:sz w:val="28"/>
          <w:szCs w:val="28"/>
        </w:rPr>
      </w:pPr>
      <w:r>
        <w:rPr>
          <w:rFonts w:hint="eastAsia" w:eastAsiaTheme="minorEastAsia"/>
          <w:sz w:val="28"/>
          <w:szCs w:val="28"/>
        </w:rPr>
        <w:t>（3）推动和鼓励不符合生态环境保护和相关规划要求的已有项目和设施保留现状，原址进行合理利用或进行合理绿化，切实维护运河风貌。</w:t>
      </w:r>
    </w:p>
    <w:p>
      <w:pPr>
        <w:pStyle w:val="6"/>
        <w:spacing w:before="62" w:after="62"/>
        <w:rPr>
          <w:rFonts w:ascii="Times New Roman" w:hAnsi="Times New Roman"/>
        </w:rPr>
      </w:pPr>
      <w:bookmarkStart w:id="108" w:name="_Toc38913555"/>
      <w:bookmarkStart w:id="109" w:name="_Toc38706724"/>
      <w:r>
        <w:rPr>
          <w:rFonts w:hint="eastAsia" w:ascii="Times New Roman" w:hAnsi="Times New Roman" w:eastAsiaTheme="minorEastAsia"/>
        </w:rPr>
        <w:t>2.2.8.</w:t>
      </w:r>
      <w:r>
        <w:rPr>
          <w:rFonts w:hint="eastAsia" w:ascii="Times New Roman" w:hAnsi="Times New Roman"/>
        </w:rPr>
        <w:t>2</w:t>
      </w:r>
      <w:r>
        <w:rPr>
          <w:rFonts w:hint="eastAsia" w:ascii="Times New Roman" w:hAnsi="Times New Roman" w:eastAsiaTheme="minorEastAsia"/>
        </w:rPr>
        <w:t xml:space="preserve"> </w:t>
      </w:r>
      <w:r>
        <w:rPr>
          <w:rFonts w:hint="eastAsia" w:ascii="宋体" w:hAnsi="宋体" w:eastAsia="宋体"/>
        </w:rPr>
        <w:t>制定依据</w:t>
      </w:r>
      <w:bookmarkEnd w:id="108"/>
      <w:bookmarkEnd w:id="109"/>
    </w:p>
    <w:p>
      <w:pPr>
        <w:spacing w:line="360" w:lineRule="auto"/>
        <w:ind w:firstLine="560" w:firstLineChars="200"/>
        <w:rPr>
          <w:rFonts w:eastAsiaTheme="minorEastAsia"/>
          <w:sz w:val="28"/>
          <w:szCs w:val="28"/>
        </w:rPr>
      </w:pPr>
      <w:r>
        <w:rPr>
          <w:rFonts w:hint="eastAsia" w:eastAsiaTheme="minorEastAsia"/>
          <w:sz w:val="28"/>
          <w:szCs w:val="28"/>
        </w:rPr>
        <w:t>（1）《中共安徽省委办公厅安徽省人民政府办公厅关于印发&lt;安徽省大运河文化保护传承利用实施规划&gt;的通知》（皖办发〔2019〕21号）。</w:t>
      </w:r>
    </w:p>
    <w:p>
      <w:pPr>
        <w:spacing w:line="360" w:lineRule="auto"/>
        <w:ind w:firstLine="560" w:firstLineChars="200"/>
        <w:rPr>
          <w:rFonts w:eastAsiaTheme="minorEastAsia"/>
          <w:sz w:val="28"/>
          <w:szCs w:val="28"/>
        </w:rPr>
      </w:pPr>
      <w:r>
        <w:rPr>
          <w:rFonts w:hint="eastAsia" w:eastAsiaTheme="minorEastAsia"/>
          <w:sz w:val="28"/>
          <w:szCs w:val="28"/>
        </w:rPr>
        <w:t>（2）《安徽省人民政府关于公布部分省级以上文物保护单位保护范围和建设控制地带的通知》（皖政秘〔2019〕68号）。</w:t>
      </w:r>
    </w:p>
    <w:p>
      <w:pPr>
        <w:spacing w:line="360" w:lineRule="auto"/>
        <w:ind w:firstLine="560" w:firstLineChars="200"/>
        <w:rPr>
          <w:rFonts w:eastAsiaTheme="minorEastAsia"/>
          <w:sz w:val="28"/>
          <w:szCs w:val="28"/>
        </w:rPr>
      </w:pPr>
      <w:r>
        <w:rPr>
          <w:rFonts w:hint="eastAsia" w:eastAsiaTheme="minorEastAsia"/>
          <w:sz w:val="28"/>
          <w:szCs w:val="28"/>
        </w:rPr>
        <w:t>（3）《大运河遗产（安徽段）保护规划（2011-2030）》。</w:t>
      </w:r>
    </w:p>
    <w:p>
      <w:pPr>
        <w:spacing w:line="360" w:lineRule="auto"/>
        <w:ind w:firstLine="560" w:firstLineChars="200"/>
        <w:rPr>
          <w:rFonts w:eastAsiaTheme="minorEastAsia"/>
          <w:sz w:val="28"/>
          <w:szCs w:val="28"/>
        </w:rPr>
      </w:pPr>
      <w:r>
        <w:rPr>
          <w:rFonts w:hint="eastAsia" w:eastAsiaTheme="minorEastAsia"/>
          <w:sz w:val="28"/>
          <w:szCs w:val="28"/>
        </w:rPr>
        <w:t>（4）《宿州市城市总体规划（2012-2030）》。</w:t>
      </w:r>
    </w:p>
    <w:p>
      <w:pPr>
        <w:spacing w:line="360" w:lineRule="auto"/>
        <w:ind w:firstLine="560" w:firstLineChars="200"/>
        <w:rPr>
          <w:rFonts w:eastAsiaTheme="minorEastAsia"/>
          <w:sz w:val="28"/>
          <w:szCs w:val="28"/>
        </w:rPr>
      </w:pPr>
      <w:r>
        <w:rPr>
          <w:rFonts w:hint="eastAsia" w:eastAsiaTheme="minorEastAsia"/>
          <w:sz w:val="28"/>
          <w:szCs w:val="28"/>
        </w:rPr>
        <w:t>（5）《泗县县城总体规划（2012-2030）》。</w:t>
      </w:r>
    </w:p>
    <w:p>
      <w:pPr>
        <w:spacing w:line="360" w:lineRule="auto"/>
        <w:ind w:firstLine="560" w:firstLineChars="200"/>
        <w:rPr>
          <w:rFonts w:eastAsiaTheme="minorEastAsia"/>
          <w:sz w:val="28"/>
          <w:szCs w:val="28"/>
        </w:rPr>
      </w:pPr>
      <w:r>
        <w:rPr>
          <w:rFonts w:hint="eastAsia" w:eastAsiaTheme="minorEastAsia"/>
          <w:sz w:val="28"/>
          <w:szCs w:val="28"/>
        </w:rPr>
        <w:t>（6）《灵璧县城市总体规划（2012-2030）》。</w:t>
      </w:r>
    </w:p>
    <w:p>
      <w:pPr>
        <w:pStyle w:val="6"/>
        <w:spacing w:before="62" w:after="62"/>
        <w:rPr>
          <w:rFonts w:ascii="Times New Roman" w:hAnsi="Times New Roman"/>
        </w:rPr>
      </w:pPr>
      <w:bookmarkStart w:id="110" w:name="_Toc38913556"/>
      <w:r>
        <w:rPr>
          <w:rFonts w:hint="eastAsia" w:ascii="Times New Roman" w:hAnsi="Times New Roman" w:eastAsiaTheme="minorEastAsia"/>
        </w:rPr>
        <w:t>2.2.8.</w:t>
      </w:r>
      <w:r>
        <w:rPr>
          <w:rFonts w:hint="eastAsia" w:ascii="Times New Roman" w:hAnsi="Times New Roman"/>
        </w:rPr>
        <w:t>3</w:t>
      </w:r>
      <w:r>
        <w:rPr>
          <w:rFonts w:hint="eastAsia" w:ascii="Times New Roman" w:hAnsi="Times New Roman" w:eastAsiaTheme="minorEastAsia"/>
        </w:rPr>
        <w:t xml:space="preserve"> </w:t>
      </w:r>
      <w:r>
        <w:rPr>
          <w:rFonts w:hint="eastAsia" w:ascii="宋体" w:hAnsi="宋体" w:eastAsia="宋体"/>
        </w:rPr>
        <w:t>参考数据</w:t>
      </w:r>
      <w:bookmarkEnd w:id="110"/>
    </w:p>
    <w:p>
      <w:pPr>
        <w:spacing w:line="360" w:lineRule="auto"/>
        <w:ind w:firstLine="560" w:firstLineChars="200"/>
        <w:rPr>
          <w:rFonts w:eastAsiaTheme="minorEastAsia"/>
          <w:sz w:val="28"/>
          <w:szCs w:val="28"/>
        </w:rPr>
      </w:pPr>
      <w:r>
        <w:rPr>
          <w:rFonts w:hint="eastAsia" w:eastAsiaTheme="minorEastAsia"/>
          <w:sz w:val="28"/>
          <w:szCs w:val="28"/>
        </w:rPr>
        <w:t>（1）宿州市第二次土地调查年度变更数据库。</w:t>
      </w:r>
    </w:p>
    <w:p>
      <w:pPr>
        <w:spacing w:line="360" w:lineRule="auto"/>
        <w:ind w:firstLine="560" w:firstLineChars="200"/>
        <w:rPr>
          <w:rFonts w:eastAsiaTheme="minorEastAsia"/>
          <w:sz w:val="28"/>
          <w:szCs w:val="28"/>
        </w:rPr>
      </w:pPr>
      <w:r>
        <w:rPr>
          <w:rFonts w:hint="eastAsia" w:eastAsiaTheme="minorEastAsia"/>
          <w:sz w:val="28"/>
          <w:szCs w:val="28"/>
        </w:rPr>
        <w:t>（2）宿州市第三次土地调查数据库。</w:t>
      </w:r>
    </w:p>
    <w:p>
      <w:pPr>
        <w:spacing w:line="360" w:lineRule="auto"/>
        <w:rPr>
          <w:rFonts w:eastAsiaTheme="minorEastAsia"/>
          <w:sz w:val="28"/>
          <w:szCs w:val="28"/>
        </w:rPr>
        <w:sectPr>
          <w:footerReference r:id="rId18" w:type="default"/>
          <w:pgSz w:w="11906" w:h="16838"/>
          <w:pgMar w:top="1440" w:right="1797" w:bottom="1440" w:left="1797" w:header="227" w:footer="1077" w:gutter="0"/>
          <w:cols w:space="425" w:num="1"/>
          <w:docGrid w:type="lines" w:linePitch="312" w:charSpace="0"/>
        </w:sectPr>
      </w:pPr>
    </w:p>
    <w:p>
      <w:pPr>
        <w:pStyle w:val="4"/>
        <w:spacing w:before="312" w:after="312"/>
        <w:rPr>
          <w:rFonts w:eastAsiaTheme="minorEastAsia"/>
        </w:rPr>
      </w:pPr>
      <w:bookmarkStart w:id="111" w:name="_Toc84536522"/>
      <w:r>
        <w:rPr>
          <w:rFonts w:hint="eastAsia" w:eastAsiaTheme="minorEastAsia"/>
        </w:rPr>
        <w:t>2</w:t>
      </w:r>
      <w:r>
        <w:rPr>
          <w:rFonts w:hint="eastAsia"/>
        </w:rPr>
        <w:t>.</w:t>
      </w:r>
      <w:r>
        <w:rPr>
          <w:rFonts w:hint="eastAsia" w:eastAsiaTheme="minorEastAsia"/>
        </w:rPr>
        <w:t>3</w:t>
      </w:r>
      <w:r>
        <w:rPr>
          <w:rFonts w:hint="eastAsia"/>
        </w:rPr>
        <w:t xml:space="preserve"> </w:t>
      </w:r>
      <w:r>
        <w:rPr>
          <w:rFonts w:hint="eastAsia" w:asciiTheme="minorEastAsia" w:hAnsiTheme="minorEastAsia" w:eastAsiaTheme="minorEastAsia"/>
        </w:rPr>
        <w:t>大运河宿州段</w:t>
      </w:r>
      <w:r>
        <w:rPr>
          <w:rFonts w:asciiTheme="minorEastAsia" w:hAnsiTheme="minorEastAsia" w:eastAsiaTheme="minorEastAsia"/>
        </w:rPr>
        <w:t>水</w:t>
      </w:r>
      <w:r>
        <w:rPr>
          <w:rFonts w:hint="eastAsia" w:asciiTheme="minorEastAsia" w:hAnsiTheme="minorEastAsia" w:eastAsiaTheme="minorEastAsia"/>
        </w:rPr>
        <w:t>环境质量</w:t>
      </w:r>
      <w:r>
        <w:rPr>
          <w:rFonts w:asciiTheme="minorEastAsia" w:hAnsiTheme="minorEastAsia" w:eastAsiaTheme="minorEastAsia"/>
        </w:rPr>
        <w:t>现状评价</w:t>
      </w:r>
      <w:bookmarkEnd w:id="111"/>
    </w:p>
    <w:p>
      <w:pPr>
        <w:pStyle w:val="25"/>
        <w:spacing w:before="156" w:after="156"/>
        <w:ind w:left="0" w:leftChars="0"/>
      </w:pPr>
      <w:bookmarkStart w:id="112" w:name="_Toc84536523"/>
      <w:r>
        <w:rPr>
          <w:rFonts w:hint="eastAsia"/>
        </w:rPr>
        <w:t>2.3.1 监测断面设置</w:t>
      </w:r>
      <w:bookmarkEnd w:id="112"/>
    </w:p>
    <w:p>
      <w:pPr>
        <w:spacing w:line="360" w:lineRule="auto"/>
        <w:ind w:firstLine="560" w:firstLineChars="200"/>
        <w:rPr>
          <w:rFonts w:eastAsiaTheme="minorEastAsia"/>
          <w:sz w:val="28"/>
          <w:szCs w:val="28"/>
        </w:rPr>
      </w:pPr>
      <w:r>
        <w:rPr>
          <w:rFonts w:hint="eastAsia" w:eastAsiaTheme="minorEastAsia"/>
          <w:sz w:val="28"/>
          <w:szCs w:val="28"/>
        </w:rPr>
        <w:t>由</w:t>
      </w:r>
      <w:r>
        <w:rPr>
          <w:rFonts w:eastAsiaTheme="minorEastAsia"/>
          <w:sz w:val="28"/>
          <w:szCs w:val="28"/>
        </w:rPr>
        <w:t>于</w:t>
      </w:r>
      <w:r>
        <w:rPr>
          <w:rFonts w:hint="eastAsia" w:eastAsiaTheme="minorEastAsia"/>
          <w:sz w:val="28"/>
          <w:szCs w:val="28"/>
        </w:rPr>
        <w:t>之前没有关于大运河的水质监测数据，因此，</w:t>
      </w:r>
      <w:r>
        <w:rPr>
          <w:rFonts w:eastAsiaTheme="minorEastAsia"/>
          <w:sz w:val="28"/>
          <w:szCs w:val="28"/>
        </w:rPr>
        <w:t>20</w:t>
      </w:r>
      <w:r>
        <w:rPr>
          <w:rFonts w:hint="eastAsia" w:eastAsiaTheme="minorEastAsia"/>
          <w:sz w:val="28"/>
          <w:szCs w:val="28"/>
        </w:rPr>
        <w:t>20</w:t>
      </w:r>
      <w:r>
        <w:rPr>
          <w:rFonts w:eastAsiaTheme="minorEastAsia"/>
          <w:sz w:val="28"/>
          <w:szCs w:val="28"/>
        </w:rPr>
        <w:t>年</w:t>
      </w:r>
      <w:r>
        <w:rPr>
          <w:rFonts w:hint="eastAsia" w:eastAsiaTheme="minorEastAsia"/>
          <w:sz w:val="28"/>
          <w:szCs w:val="28"/>
        </w:rPr>
        <w:t>11</w:t>
      </w:r>
      <w:r>
        <w:rPr>
          <w:rFonts w:eastAsiaTheme="minorEastAsia"/>
          <w:sz w:val="28"/>
          <w:szCs w:val="28"/>
        </w:rPr>
        <w:t>月</w:t>
      </w:r>
      <w:r>
        <w:rPr>
          <w:rFonts w:hint="eastAsia" w:eastAsiaTheme="minorEastAsia"/>
          <w:sz w:val="28"/>
          <w:szCs w:val="28"/>
        </w:rPr>
        <w:t>份对大运河宿州段</w:t>
      </w:r>
      <w:r>
        <w:rPr>
          <w:rFonts w:eastAsiaTheme="minorEastAsia"/>
          <w:sz w:val="28"/>
          <w:szCs w:val="28"/>
        </w:rPr>
        <w:t>开展水质监测</w:t>
      </w:r>
      <w:r>
        <w:rPr>
          <w:rFonts w:hint="eastAsia" w:eastAsiaTheme="minorEastAsia"/>
          <w:sz w:val="28"/>
          <w:szCs w:val="28"/>
        </w:rPr>
        <w:t>，共设置监测点21个</w:t>
      </w:r>
      <w:r>
        <w:rPr>
          <w:rFonts w:eastAsiaTheme="minorEastAsia"/>
          <w:sz w:val="28"/>
          <w:szCs w:val="28"/>
        </w:rPr>
        <w:t>，监测</w:t>
      </w:r>
      <w:r>
        <w:rPr>
          <w:rFonts w:hint="eastAsia" w:eastAsiaTheme="minorEastAsia"/>
          <w:sz w:val="28"/>
          <w:szCs w:val="28"/>
        </w:rPr>
        <w:t>点</w:t>
      </w:r>
      <w:r>
        <w:rPr>
          <w:rFonts w:eastAsiaTheme="minorEastAsia"/>
          <w:sz w:val="28"/>
          <w:szCs w:val="28"/>
        </w:rPr>
        <w:t>分布见表</w:t>
      </w:r>
      <w:r>
        <w:rPr>
          <w:rFonts w:hint="eastAsia" w:eastAsiaTheme="minorEastAsia"/>
          <w:sz w:val="28"/>
          <w:szCs w:val="28"/>
        </w:rPr>
        <w:t>2</w:t>
      </w:r>
      <w:r>
        <w:rPr>
          <w:rFonts w:eastAsiaTheme="minorEastAsia"/>
          <w:sz w:val="28"/>
          <w:szCs w:val="28"/>
        </w:rPr>
        <w:t>-</w:t>
      </w:r>
      <w:r>
        <w:rPr>
          <w:rFonts w:hint="eastAsia" w:eastAsiaTheme="minorEastAsia"/>
          <w:sz w:val="28"/>
          <w:szCs w:val="28"/>
        </w:rPr>
        <w:t>5，监测点位如图2-3</w:t>
      </w:r>
      <w:r>
        <w:rPr>
          <w:rFonts w:eastAsiaTheme="minorEastAsia"/>
          <w:sz w:val="28"/>
          <w:szCs w:val="28"/>
        </w:rPr>
        <w:t>。</w:t>
      </w:r>
    </w:p>
    <w:p>
      <w:pPr>
        <w:spacing w:line="360" w:lineRule="auto"/>
        <w:jc w:val="center"/>
        <w:rPr>
          <w:b/>
          <w:bCs/>
          <w:szCs w:val="21"/>
        </w:rPr>
      </w:pPr>
      <w:r>
        <w:rPr>
          <w:b/>
          <w:bCs/>
          <w:sz w:val="24"/>
        </w:rPr>
        <w:t>表</w:t>
      </w:r>
      <w:r>
        <w:rPr>
          <w:rFonts w:hint="eastAsia"/>
          <w:b/>
          <w:bCs/>
          <w:sz w:val="24"/>
        </w:rPr>
        <w:t>2</w:t>
      </w:r>
      <w:r>
        <w:rPr>
          <w:b/>
          <w:bCs/>
          <w:sz w:val="24"/>
        </w:rPr>
        <w:t>-</w:t>
      </w:r>
      <w:r>
        <w:rPr>
          <w:rFonts w:hint="eastAsia"/>
          <w:b/>
          <w:bCs/>
          <w:sz w:val="24"/>
        </w:rPr>
        <w:t>5</w:t>
      </w:r>
      <w:r>
        <w:rPr>
          <w:b/>
          <w:bCs/>
          <w:sz w:val="24"/>
        </w:rPr>
        <w:t xml:space="preserve"> </w:t>
      </w:r>
      <w:r>
        <w:rPr>
          <w:rFonts w:hint="eastAsia"/>
          <w:b/>
          <w:bCs/>
          <w:sz w:val="24"/>
        </w:rPr>
        <w:t xml:space="preserve"> 大运河宿州段</w:t>
      </w:r>
      <w:r>
        <w:rPr>
          <w:b/>
          <w:bCs/>
          <w:sz w:val="24"/>
        </w:rPr>
        <w:t>水质监测</w:t>
      </w:r>
      <w:r>
        <w:rPr>
          <w:rFonts w:hint="eastAsia"/>
          <w:b/>
          <w:bCs/>
          <w:sz w:val="24"/>
        </w:rPr>
        <w:t>点</w:t>
      </w:r>
      <w:r>
        <w:rPr>
          <w:b/>
          <w:bCs/>
          <w:sz w:val="24"/>
        </w:rPr>
        <w:t>分布</w:t>
      </w:r>
    </w:p>
    <w:tbl>
      <w:tblPr>
        <w:tblStyle w:val="28"/>
        <w:tblW w:w="6979" w:type="dxa"/>
        <w:jc w:val="center"/>
        <w:tblInd w:w="0" w:type="dxa"/>
        <w:tblLayout w:type="fixed"/>
        <w:tblCellMar>
          <w:top w:w="0" w:type="dxa"/>
          <w:left w:w="108" w:type="dxa"/>
          <w:bottom w:w="0" w:type="dxa"/>
          <w:right w:w="108" w:type="dxa"/>
        </w:tblCellMar>
      </w:tblPr>
      <w:tblGrid>
        <w:gridCol w:w="1886"/>
        <w:gridCol w:w="5093"/>
      </w:tblGrid>
      <w:tr>
        <w:tblPrEx>
          <w:tblLayout w:type="fixed"/>
          <w:tblCellMar>
            <w:top w:w="0" w:type="dxa"/>
            <w:left w:w="108" w:type="dxa"/>
            <w:bottom w:w="0" w:type="dxa"/>
            <w:right w:w="108" w:type="dxa"/>
          </w:tblCellMar>
        </w:tblPrEx>
        <w:trPr>
          <w:trHeight w:val="397" w:hRule="atLeast"/>
          <w:tblHeader/>
          <w:jc w:val="center"/>
        </w:trPr>
        <w:tc>
          <w:tcPr>
            <w:tcW w:w="188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cs="宋体"/>
                <w:b/>
                <w:bCs/>
                <w:color w:val="000000"/>
                <w:kern w:val="0"/>
                <w:sz w:val="24"/>
              </w:rPr>
            </w:pPr>
            <w:r>
              <w:rPr>
                <w:rFonts w:hint="eastAsia" w:ascii="宋体" w:hAnsi="宋体" w:cs="宋体"/>
                <w:b/>
                <w:bCs/>
                <w:color w:val="000000"/>
                <w:kern w:val="0"/>
                <w:sz w:val="24"/>
              </w:rPr>
              <w:t>序号</w:t>
            </w:r>
          </w:p>
        </w:tc>
        <w:tc>
          <w:tcPr>
            <w:tcW w:w="5093"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宋体" w:hAnsi="宋体" w:cs="宋体"/>
                <w:b/>
                <w:bCs/>
                <w:color w:val="000000"/>
                <w:kern w:val="0"/>
                <w:sz w:val="24"/>
              </w:rPr>
            </w:pPr>
            <w:r>
              <w:rPr>
                <w:rFonts w:hint="eastAsia" w:ascii="宋体" w:hAnsi="宋体" w:cs="宋体"/>
                <w:b/>
                <w:bCs/>
                <w:color w:val="000000"/>
                <w:kern w:val="0"/>
                <w:sz w:val="24"/>
              </w:rPr>
              <w:t>监测点名称</w:t>
            </w:r>
          </w:p>
        </w:tc>
      </w:tr>
      <w:tr>
        <w:tblPrEx>
          <w:tblLayout w:type="fixed"/>
          <w:tblCellMar>
            <w:top w:w="0" w:type="dxa"/>
            <w:left w:w="108" w:type="dxa"/>
            <w:bottom w:w="0" w:type="dxa"/>
            <w:right w:w="108" w:type="dxa"/>
          </w:tblCellMar>
        </w:tblPrEx>
        <w:trPr>
          <w:trHeight w:val="397" w:hRule="atLeast"/>
          <w:jc w:val="center"/>
        </w:trPr>
        <w:tc>
          <w:tcPr>
            <w:tcW w:w="1886"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1</w:t>
            </w:r>
          </w:p>
        </w:tc>
        <w:tc>
          <w:tcPr>
            <w:tcW w:w="5093" w:type="dxa"/>
            <w:tcBorders>
              <w:top w:val="nil"/>
              <w:left w:val="nil"/>
              <w:bottom w:val="single" w:color="auto" w:sz="4" w:space="0"/>
              <w:right w:val="single" w:color="auto" w:sz="4" w:space="0"/>
            </w:tcBorders>
            <w:shd w:val="clear" w:color="auto" w:fill="auto"/>
            <w:noWrap/>
            <w:vAlign w:val="bottom"/>
          </w:tcPr>
          <w:p>
            <w:pPr>
              <w:widowControl/>
              <w:jc w:val="center"/>
              <w:rPr>
                <w:color w:val="000000"/>
                <w:kern w:val="0"/>
                <w:sz w:val="24"/>
              </w:rPr>
            </w:pPr>
            <w:r>
              <w:rPr>
                <w:rFonts w:hint="eastAsia" w:ascii="宋体" w:hAnsi="宋体"/>
                <w:color w:val="000000"/>
                <w:kern w:val="0"/>
                <w:sz w:val="24"/>
              </w:rPr>
              <w:t>丹凤桥</w:t>
            </w:r>
          </w:p>
        </w:tc>
      </w:tr>
      <w:tr>
        <w:tblPrEx>
          <w:tblLayout w:type="fixed"/>
          <w:tblCellMar>
            <w:top w:w="0" w:type="dxa"/>
            <w:left w:w="108" w:type="dxa"/>
            <w:bottom w:w="0" w:type="dxa"/>
            <w:right w:w="108" w:type="dxa"/>
          </w:tblCellMar>
        </w:tblPrEx>
        <w:trPr>
          <w:trHeight w:val="397" w:hRule="atLeast"/>
          <w:jc w:val="center"/>
        </w:trPr>
        <w:tc>
          <w:tcPr>
            <w:tcW w:w="1886"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2</w:t>
            </w:r>
          </w:p>
        </w:tc>
        <w:tc>
          <w:tcPr>
            <w:tcW w:w="5093" w:type="dxa"/>
            <w:tcBorders>
              <w:top w:val="nil"/>
              <w:left w:val="nil"/>
              <w:bottom w:val="single" w:color="auto" w:sz="4" w:space="0"/>
              <w:right w:val="single" w:color="auto" w:sz="4" w:space="0"/>
            </w:tcBorders>
            <w:shd w:val="clear" w:color="auto" w:fill="auto"/>
            <w:noWrap/>
            <w:vAlign w:val="bottom"/>
          </w:tcPr>
          <w:p>
            <w:pPr>
              <w:widowControl/>
              <w:jc w:val="center"/>
              <w:rPr>
                <w:color w:val="000000"/>
                <w:kern w:val="0"/>
                <w:sz w:val="24"/>
              </w:rPr>
            </w:pPr>
            <w:r>
              <w:rPr>
                <w:rFonts w:hint="eastAsia" w:ascii="宋体" w:hAnsi="宋体"/>
                <w:color w:val="000000"/>
                <w:kern w:val="0"/>
                <w:sz w:val="24"/>
              </w:rPr>
              <w:t>大运河唐河交汇处</w:t>
            </w:r>
          </w:p>
        </w:tc>
      </w:tr>
      <w:tr>
        <w:tblPrEx>
          <w:tblLayout w:type="fixed"/>
          <w:tblCellMar>
            <w:top w:w="0" w:type="dxa"/>
            <w:left w:w="108" w:type="dxa"/>
            <w:bottom w:w="0" w:type="dxa"/>
            <w:right w:w="108" w:type="dxa"/>
          </w:tblCellMar>
        </w:tblPrEx>
        <w:trPr>
          <w:trHeight w:val="397" w:hRule="atLeast"/>
          <w:jc w:val="center"/>
        </w:trPr>
        <w:tc>
          <w:tcPr>
            <w:tcW w:w="1886"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3</w:t>
            </w:r>
          </w:p>
        </w:tc>
        <w:tc>
          <w:tcPr>
            <w:tcW w:w="5093" w:type="dxa"/>
            <w:tcBorders>
              <w:top w:val="nil"/>
              <w:left w:val="nil"/>
              <w:bottom w:val="single" w:color="auto" w:sz="4" w:space="0"/>
              <w:right w:val="single" w:color="auto" w:sz="4" w:space="0"/>
            </w:tcBorders>
            <w:shd w:val="clear" w:color="auto" w:fill="auto"/>
            <w:noWrap/>
            <w:vAlign w:val="bottom"/>
          </w:tcPr>
          <w:p>
            <w:pPr>
              <w:widowControl/>
              <w:jc w:val="center"/>
              <w:rPr>
                <w:color w:val="000000"/>
                <w:kern w:val="0"/>
                <w:sz w:val="24"/>
              </w:rPr>
            </w:pPr>
            <w:r>
              <w:rPr>
                <w:rFonts w:hint="eastAsia" w:ascii="宋体" w:hAnsi="宋体"/>
                <w:color w:val="000000"/>
                <w:kern w:val="0"/>
                <w:sz w:val="24"/>
              </w:rPr>
              <w:t>泗州桥</w:t>
            </w:r>
          </w:p>
        </w:tc>
      </w:tr>
      <w:tr>
        <w:tblPrEx>
          <w:tblLayout w:type="fixed"/>
          <w:tblCellMar>
            <w:top w:w="0" w:type="dxa"/>
            <w:left w:w="108" w:type="dxa"/>
            <w:bottom w:w="0" w:type="dxa"/>
            <w:right w:w="108" w:type="dxa"/>
          </w:tblCellMar>
        </w:tblPrEx>
        <w:trPr>
          <w:trHeight w:val="397" w:hRule="atLeast"/>
          <w:jc w:val="center"/>
        </w:trPr>
        <w:tc>
          <w:tcPr>
            <w:tcW w:w="1886"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4</w:t>
            </w:r>
          </w:p>
        </w:tc>
        <w:tc>
          <w:tcPr>
            <w:tcW w:w="5093" w:type="dxa"/>
            <w:tcBorders>
              <w:top w:val="nil"/>
              <w:left w:val="nil"/>
              <w:bottom w:val="single" w:color="auto" w:sz="4" w:space="0"/>
              <w:right w:val="single" w:color="auto" w:sz="4" w:space="0"/>
            </w:tcBorders>
            <w:shd w:val="clear" w:color="auto" w:fill="auto"/>
            <w:noWrap/>
            <w:vAlign w:val="bottom"/>
          </w:tcPr>
          <w:p>
            <w:pPr>
              <w:widowControl/>
              <w:jc w:val="center"/>
              <w:rPr>
                <w:color w:val="000000"/>
                <w:kern w:val="0"/>
                <w:sz w:val="24"/>
              </w:rPr>
            </w:pPr>
            <w:r>
              <w:rPr>
                <w:color w:val="000000"/>
                <w:kern w:val="0"/>
                <w:sz w:val="24"/>
              </w:rPr>
              <w:t>216</w:t>
            </w:r>
            <w:r>
              <w:rPr>
                <w:rFonts w:hint="eastAsia" w:ascii="宋体" w:hAnsi="宋体"/>
                <w:color w:val="000000"/>
                <w:kern w:val="0"/>
                <w:sz w:val="24"/>
              </w:rPr>
              <w:t>省道桥</w:t>
            </w:r>
          </w:p>
        </w:tc>
      </w:tr>
      <w:tr>
        <w:tblPrEx>
          <w:tblLayout w:type="fixed"/>
          <w:tblCellMar>
            <w:top w:w="0" w:type="dxa"/>
            <w:left w:w="108" w:type="dxa"/>
            <w:bottom w:w="0" w:type="dxa"/>
            <w:right w:w="108" w:type="dxa"/>
          </w:tblCellMar>
        </w:tblPrEx>
        <w:trPr>
          <w:trHeight w:val="397" w:hRule="atLeast"/>
          <w:jc w:val="center"/>
        </w:trPr>
        <w:tc>
          <w:tcPr>
            <w:tcW w:w="1886"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5</w:t>
            </w:r>
          </w:p>
        </w:tc>
        <w:tc>
          <w:tcPr>
            <w:tcW w:w="5093" w:type="dxa"/>
            <w:tcBorders>
              <w:top w:val="nil"/>
              <w:left w:val="nil"/>
              <w:bottom w:val="single" w:color="auto" w:sz="4" w:space="0"/>
              <w:right w:val="single" w:color="auto" w:sz="4" w:space="0"/>
            </w:tcBorders>
            <w:shd w:val="clear" w:color="auto" w:fill="auto"/>
            <w:noWrap/>
            <w:vAlign w:val="bottom"/>
          </w:tcPr>
          <w:p>
            <w:pPr>
              <w:widowControl/>
              <w:jc w:val="center"/>
              <w:rPr>
                <w:color w:val="000000"/>
                <w:kern w:val="0"/>
                <w:sz w:val="24"/>
              </w:rPr>
            </w:pPr>
            <w:r>
              <w:rPr>
                <w:rFonts w:hint="eastAsia" w:ascii="宋体" w:hAnsi="宋体"/>
                <w:color w:val="000000"/>
                <w:kern w:val="0"/>
                <w:sz w:val="24"/>
              </w:rPr>
              <w:t>十里井桥</w:t>
            </w:r>
          </w:p>
        </w:tc>
      </w:tr>
      <w:tr>
        <w:tblPrEx>
          <w:tblLayout w:type="fixed"/>
          <w:tblCellMar>
            <w:top w:w="0" w:type="dxa"/>
            <w:left w:w="108" w:type="dxa"/>
            <w:bottom w:w="0" w:type="dxa"/>
            <w:right w:w="108" w:type="dxa"/>
          </w:tblCellMar>
        </w:tblPrEx>
        <w:trPr>
          <w:trHeight w:val="397" w:hRule="atLeast"/>
          <w:jc w:val="center"/>
        </w:trPr>
        <w:tc>
          <w:tcPr>
            <w:tcW w:w="1886"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6</w:t>
            </w:r>
          </w:p>
        </w:tc>
        <w:tc>
          <w:tcPr>
            <w:tcW w:w="5093" w:type="dxa"/>
            <w:tcBorders>
              <w:top w:val="nil"/>
              <w:left w:val="nil"/>
              <w:bottom w:val="single" w:color="auto" w:sz="4" w:space="0"/>
              <w:right w:val="single" w:color="auto" w:sz="4" w:space="0"/>
            </w:tcBorders>
            <w:shd w:val="clear" w:color="auto" w:fill="auto"/>
            <w:noWrap/>
            <w:vAlign w:val="bottom"/>
          </w:tcPr>
          <w:p>
            <w:pPr>
              <w:widowControl/>
              <w:jc w:val="center"/>
              <w:rPr>
                <w:color w:val="000000"/>
                <w:kern w:val="0"/>
                <w:sz w:val="24"/>
              </w:rPr>
            </w:pPr>
            <w:r>
              <w:rPr>
                <w:rFonts w:hint="eastAsia" w:ascii="宋体" w:hAnsi="宋体"/>
                <w:color w:val="000000"/>
                <w:kern w:val="0"/>
                <w:sz w:val="24"/>
              </w:rPr>
              <w:t>中医院桥</w:t>
            </w:r>
          </w:p>
        </w:tc>
      </w:tr>
      <w:tr>
        <w:tblPrEx>
          <w:tblLayout w:type="fixed"/>
          <w:tblCellMar>
            <w:top w:w="0" w:type="dxa"/>
            <w:left w:w="108" w:type="dxa"/>
            <w:bottom w:w="0" w:type="dxa"/>
            <w:right w:w="108" w:type="dxa"/>
          </w:tblCellMar>
        </w:tblPrEx>
        <w:trPr>
          <w:trHeight w:val="397" w:hRule="atLeast"/>
          <w:jc w:val="center"/>
        </w:trPr>
        <w:tc>
          <w:tcPr>
            <w:tcW w:w="1886"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7</w:t>
            </w:r>
          </w:p>
        </w:tc>
        <w:tc>
          <w:tcPr>
            <w:tcW w:w="5093" w:type="dxa"/>
            <w:tcBorders>
              <w:top w:val="nil"/>
              <w:left w:val="nil"/>
              <w:bottom w:val="single" w:color="auto" w:sz="4" w:space="0"/>
              <w:right w:val="single" w:color="auto" w:sz="4" w:space="0"/>
            </w:tcBorders>
            <w:shd w:val="clear" w:color="auto" w:fill="auto"/>
            <w:noWrap/>
            <w:vAlign w:val="bottom"/>
          </w:tcPr>
          <w:p>
            <w:pPr>
              <w:widowControl/>
              <w:jc w:val="center"/>
              <w:rPr>
                <w:color w:val="000000"/>
                <w:kern w:val="0"/>
                <w:sz w:val="24"/>
              </w:rPr>
            </w:pPr>
            <w:r>
              <w:rPr>
                <w:color w:val="000000"/>
                <w:kern w:val="0"/>
                <w:sz w:val="24"/>
              </w:rPr>
              <w:t>076</w:t>
            </w:r>
            <w:r>
              <w:rPr>
                <w:rFonts w:hint="eastAsia" w:ascii="宋体" w:hAnsi="宋体"/>
                <w:color w:val="000000"/>
                <w:kern w:val="0"/>
                <w:sz w:val="24"/>
              </w:rPr>
              <w:t>乡道桥</w:t>
            </w:r>
          </w:p>
        </w:tc>
      </w:tr>
      <w:tr>
        <w:tblPrEx>
          <w:tblLayout w:type="fixed"/>
          <w:tblCellMar>
            <w:top w:w="0" w:type="dxa"/>
            <w:left w:w="108" w:type="dxa"/>
            <w:bottom w:w="0" w:type="dxa"/>
            <w:right w:w="108" w:type="dxa"/>
          </w:tblCellMar>
        </w:tblPrEx>
        <w:trPr>
          <w:trHeight w:val="397" w:hRule="atLeast"/>
          <w:jc w:val="center"/>
        </w:trPr>
        <w:tc>
          <w:tcPr>
            <w:tcW w:w="1886"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8</w:t>
            </w:r>
          </w:p>
        </w:tc>
        <w:tc>
          <w:tcPr>
            <w:tcW w:w="5093" w:type="dxa"/>
            <w:tcBorders>
              <w:top w:val="nil"/>
              <w:left w:val="nil"/>
              <w:bottom w:val="single" w:color="auto" w:sz="4" w:space="0"/>
              <w:right w:val="single" w:color="auto" w:sz="4" w:space="0"/>
            </w:tcBorders>
            <w:shd w:val="clear" w:color="auto" w:fill="auto"/>
            <w:noWrap/>
            <w:vAlign w:val="bottom"/>
          </w:tcPr>
          <w:p>
            <w:pPr>
              <w:widowControl/>
              <w:jc w:val="center"/>
              <w:rPr>
                <w:color w:val="000000"/>
                <w:kern w:val="0"/>
                <w:sz w:val="24"/>
              </w:rPr>
            </w:pPr>
            <w:r>
              <w:rPr>
                <w:rFonts w:hint="eastAsia" w:ascii="宋体" w:hAnsi="宋体"/>
                <w:color w:val="000000"/>
                <w:kern w:val="0"/>
                <w:sz w:val="24"/>
              </w:rPr>
              <w:t>大运河河口处</w:t>
            </w:r>
          </w:p>
        </w:tc>
      </w:tr>
      <w:tr>
        <w:tblPrEx>
          <w:tblLayout w:type="fixed"/>
          <w:tblCellMar>
            <w:top w:w="0" w:type="dxa"/>
            <w:left w:w="108" w:type="dxa"/>
            <w:bottom w:w="0" w:type="dxa"/>
            <w:right w:w="108" w:type="dxa"/>
          </w:tblCellMar>
        </w:tblPrEx>
        <w:trPr>
          <w:trHeight w:val="397" w:hRule="atLeast"/>
          <w:jc w:val="center"/>
        </w:trPr>
        <w:tc>
          <w:tcPr>
            <w:tcW w:w="1886"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9</w:t>
            </w:r>
          </w:p>
        </w:tc>
        <w:tc>
          <w:tcPr>
            <w:tcW w:w="5093" w:type="dxa"/>
            <w:tcBorders>
              <w:top w:val="nil"/>
              <w:left w:val="nil"/>
              <w:bottom w:val="single" w:color="auto" w:sz="4" w:space="0"/>
              <w:right w:val="single" w:color="auto" w:sz="4" w:space="0"/>
            </w:tcBorders>
            <w:shd w:val="clear" w:color="auto" w:fill="auto"/>
            <w:noWrap/>
            <w:vAlign w:val="bottom"/>
          </w:tcPr>
          <w:p>
            <w:pPr>
              <w:widowControl/>
              <w:jc w:val="center"/>
              <w:rPr>
                <w:color w:val="000000"/>
                <w:kern w:val="0"/>
                <w:sz w:val="24"/>
              </w:rPr>
            </w:pPr>
            <w:r>
              <w:rPr>
                <w:color w:val="000000"/>
                <w:kern w:val="0"/>
                <w:sz w:val="24"/>
              </w:rPr>
              <w:t>072</w:t>
            </w:r>
            <w:r>
              <w:rPr>
                <w:rFonts w:hint="eastAsia" w:ascii="宋体" w:hAnsi="宋体"/>
                <w:color w:val="000000"/>
                <w:kern w:val="0"/>
                <w:sz w:val="24"/>
              </w:rPr>
              <w:t>乡道桥</w:t>
            </w:r>
          </w:p>
        </w:tc>
      </w:tr>
      <w:tr>
        <w:tblPrEx>
          <w:tblLayout w:type="fixed"/>
          <w:tblCellMar>
            <w:top w:w="0" w:type="dxa"/>
            <w:left w:w="108" w:type="dxa"/>
            <w:bottom w:w="0" w:type="dxa"/>
            <w:right w:w="108" w:type="dxa"/>
          </w:tblCellMar>
        </w:tblPrEx>
        <w:trPr>
          <w:trHeight w:val="397" w:hRule="atLeast"/>
          <w:jc w:val="center"/>
        </w:trPr>
        <w:tc>
          <w:tcPr>
            <w:tcW w:w="1886"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10</w:t>
            </w:r>
          </w:p>
        </w:tc>
        <w:tc>
          <w:tcPr>
            <w:tcW w:w="5093" w:type="dxa"/>
            <w:tcBorders>
              <w:top w:val="nil"/>
              <w:left w:val="nil"/>
              <w:bottom w:val="single" w:color="auto" w:sz="4" w:space="0"/>
              <w:right w:val="single" w:color="auto" w:sz="4" w:space="0"/>
            </w:tcBorders>
            <w:shd w:val="clear" w:color="auto" w:fill="auto"/>
            <w:noWrap/>
            <w:vAlign w:val="bottom"/>
          </w:tcPr>
          <w:p>
            <w:pPr>
              <w:widowControl/>
              <w:jc w:val="center"/>
              <w:rPr>
                <w:color w:val="000000"/>
                <w:kern w:val="0"/>
                <w:sz w:val="24"/>
              </w:rPr>
            </w:pPr>
            <w:r>
              <w:rPr>
                <w:rFonts w:hint="eastAsia" w:ascii="宋体" w:hAnsi="宋体"/>
                <w:color w:val="000000"/>
                <w:kern w:val="0"/>
                <w:sz w:val="24"/>
              </w:rPr>
              <w:t>西二环路桥</w:t>
            </w:r>
          </w:p>
        </w:tc>
      </w:tr>
      <w:tr>
        <w:tblPrEx>
          <w:tblLayout w:type="fixed"/>
          <w:tblCellMar>
            <w:top w:w="0" w:type="dxa"/>
            <w:left w:w="108" w:type="dxa"/>
            <w:bottom w:w="0" w:type="dxa"/>
            <w:right w:w="108" w:type="dxa"/>
          </w:tblCellMar>
        </w:tblPrEx>
        <w:trPr>
          <w:trHeight w:val="397" w:hRule="atLeast"/>
          <w:jc w:val="center"/>
        </w:trPr>
        <w:tc>
          <w:tcPr>
            <w:tcW w:w="1886"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11</w:t>
            </w:r>
          </w:p>
        </w:tc>
        <w:tc>
          <w:tcPr>
            <w:tcW w:w="5093" w:type="dxa"/>
            <w:tcBorders>
              <w:top w:val="nil"/>
              <w:left w:val="nil"/>
              <w:bottom w:val="single" w:color="auto" w:sz="4" w:space="0"/>
              <w:right w:val="single" w:color="auto" w:sz="4" w:space="0"/>
            </w:tcBorders>
            <w:shd w:val="clear" w:color="auto" w:fill="auto"/>
            <w:noWrap/>
            <w:vAlign w:val="bottom"/>
          </w:tcPr>
          <w:p>
            <w:pPr>
              <w:widowControl/>
              <w:jc w:val="center"/>
              <w:rPr>
                <w:color w:val="000000"/>
                <w:kern w:val="0"/>
                <w:sz w:val="24"/>
              </w:rPr>
            </w:pPr>
            <w:r>
              <w:rPr>
                <w:rFonts w:hint="eastAsia" w:ascii="宋体" w:hAnsi="宋体"/>
                <w:color w:val="000000"/>
                <w:kern w:val="0"/>
                <w:sz w:val="24"/>
              </w:rPr>
              <w:t>虹乡路桥</w:t>
            </w:r>
          </w:p>
        </w:tc>
      </w:tr>
      <w:tr>
        <w:tblPrEx>
          <w:tblLayout w:type="fixed"/>
          <w:tblCellMar>
            <w:top w:w="0" w:type="dxa"/>
            <w:left w:w="108" w:type="dxa"/>
            <w:bottom w:w="0" w:type="dxa"/>
            <w:right w:w="108" w:type="dxa"/>
          </w:tblCellMar>
        </w:tblPrEx>
        <w:trPr>
          <w:trHeight w:val="397" w:hRule="atLeast"/>
          <w:jc w:val="center"/>
        </w:trPr>
        <w:tc>
          <w:tcPr>
            <w:tcW w:w="1886"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12</w:t>
            </w:r>
          </w:p>
        </w:tc>
        <w:tc>
          <w:tcPr>
            <w:tcW w:w="5093" w:type="dxa"/>
            <w:tcBorders>
              <w:top w:val="nil"/>
              <w:left w:val="nil"/>
              <w:bottom w:val="single" w:color="auto" w:sz="4" w:space="0"/>
              <w:right w:val="single" w:color="auto" w:sz="4" w:space="0"/>
            </w:tcBorders>
            <w:shd w:val="clear" w:color="auto" w:fill="auto"/>
            <w:noWrap/>
            <w:vAlign w:val="bottom"/>
          </w:tcPr>
          <w:p>
            <w:pPr>
              <w:widowControl/>
              <w:jc w:val="center"/>
              <w:rPr>
                <w:color w:val="000000"/>
                <w:kern w:val="0"/>
                <w:sz w:val="24"/>
              </w:rPr>
            </w:pPr>
            <w:r>
              <w:rPr>
                <w:rFonts w:hint="eastAsia" w:ascii="宋体" w:hAnsi="宋体"/>
                <w:color w:val="000000"/>
                <w:kern w:val="0"/>
                <w:sz w:val="24"/>
              </w:rPr>
              <w:t>濉河大运河交汇处</w:t>
            </w:r>
          </w:p>
        </w:tc>
      </w:tr>
      <w:tr>
        <w:tblPrEx>
          <w:tblLayout w:type="fixed"/>
          <w:tblCellMar>
            <w:top w:w="0" w:type="dxa"/>
            <w:left w:w="108" w:type="dxa"/>
            <w:bottom w:w="0" w:type="dxa"/>
            <w:right w:w="108" w:type="dxa"/>
          </w:tblCellMar>
        </w:tblPrEx>
        <w:trPr>
          <w:trHeight w:val="397" w:hRule="atLeast"/>
          <w:jc w:val="center"/>
        </w:trPr>
        <w:tc>
          <w:tcPr>
            <w:tcW w:w="1886"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13</w:t>
            </w:r>
          </w:p>
        </w:tc>
        <w:tc>
          <w:tcPr>
            <w:tcW w:w="5093" w:type="dxa"/>
            <w:tcBorders>
              <w:top w:val="nil"/>
              <w:left w:val="nil"/>
              <w:bottom w:val="single" w:color="auto" w:sz="4" w:space="0"/>
              <w:right w:val="single" w:color="auto" w:sz="4" w:space="0"/>
            </w:tcBorders>
            <w:shd w:val="clear" w:color="auto" w:fill="auto"/>
            <w:noWrap/>
            <w:vAlign w:val="bottom"/>
          </w:tcPr>
          <w:p>
            <w:pPr>
              <w:widowControl/>
              <w:jc w:val="center"/>
              <w:rPr>
                <w:color w:val="000000"/>
                <w:kern w:val="0"/>
                <w:sz w:val="24"/>
              </w:rPr>
            </w:pPr>
            <w:r>
              <w:rPr>
                <w:rFonts w:hint="eastAsia" w:ascii="宋体" w:hAnsi="宋体"/>
                <w:color w:val="000000"/>
                <w:kern w:val="0"/>
                <w:sz w:val="24"/>
              </w:rPr>
              <w:t>新虹桥</w:t>
            </w:r>
          </w:p>
        </w:tc>
      </w:tr>
      <w:tr>
        <w:tblPrEx>
          <w:tblLayout w:type="fixed"/>
          <w:tblCellMar>
            <w:top w:w="0" w:type="dxa"/>
            <w:left w:w="108" w:type="dxa"/>
            <w:bottom w:w="0" w:type="dxa"/>
            <w:right w:w="108" w:type="dxa"/>
          </w:tblCellMar>
        </w:tblPrEx>
        <w:trPr>
          <w:trHeight w:val="397" w:hRule="atLeast"/>
          <w:jc w:val="center"/>
        </w:trPr>
        <w:tc>
          <w:tcPr>
            <w:tcW w:w="1886"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14</w:t>
            </w:r>
          </w:p>
        </w:tc>
        <w:tc>
          <w:tcPr>
            <w:tcW w:w="5093" w:type="dxa"/>
            <w:tcBorders>
              <w:top w:val="nil"/>
              <w:left w:val="nil"/>
              <w:bottom w:val="single" w:color="auto" w:sz="4" w:space="0"/>
              <w:right w:val="single" w:color="auto" w:sz="4" w:space="0"/>
            </w:tcBorders>
            <w:shd w:val="clear" w:color="auto" w:fill="auto"/>
            <w:noWrap/>
            <w:vAlign w:val="bottom"/>
          </w:tcPr>
          <w:p>
            <w:pPr>
              <w:widowControl/>
              <w:jc w:val="center"/>
              <w:rPr>
                <w:color w:val="000000"/>
                <w:kern w:val="0"/>
                <w:sz w:val="24"/>
              </w:rPr>
            </w:pPr>
            <w:r>
              <w:rPr>
                <w:rFonts w:hint="eastAsia" w:ascii="宋体" w:hAnsi="宋体"/>
                <w:color w:val="000000"/>
                <w:kern w:val="0"/>
                <w:sz w:val="24"/>
              </w:rPr>
              <w:t>东关桥</w:t>
            </w:r>
          </w:p>
        </w:tc>
      </w:tr>
      <w:tr>
        <w:tblPrEx>
          <w:tblLayout w:type="fixed"/>
          <w:tblCellMar>
            <w:top w:w="0" w:type="dxa"/>
            <w:left w:w="108" w:type="dxa"/>
            <w:bottom w:w="0" w:type="dxa"/>
            <w:right w:w="108" w:type="dxa"/>
          </w:tblCellMar>
        </w:tblPrEx>
        <w:trPr>
          <w:trHeight w:val="397" w:hRule="atLeast"/>
          <w:jc w:val="center"/>
        </w:trPr>
        <w:tc>
          <w:tcPr>
            <w:tcW w:w="1886"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15</w:t>
            </w:r>
          </w:p>
        </w:tc>
        <w:tc>
          <w:tcPr>
            <w:tcW w:w="5093" w:type="dxa"/>
            <w:tcBorders>
              <w:top w:val="nil"/>
              <w:left w:val="nil"/>
              <w:bottom w:val="single" w:color="auto" w:sz="4" w:space="0"/>
              <w:right w:val="single" w:color="auto" w:sz="4" w:space="0"/>
            </w:tcBorders>
            <w:shd w:val="clear" w:color="auto" w:fill="FFFFFF" w:themeFill="background1"/>
            <w:noWrap/>
            <w:vAlign w:val="bottom"/>
          </w:tcPr>
          <w:p>
            <w:pPr>
              <w:widowControl/>
              <w:jc w:val="center"/>
              <w:rPr>
                <w:color w:val="000000"/>
                <w:kern w:val="0"/>
                <w:sz w:val="24"/>
              </w:rPr>
            </w:pPr>
            <w:r>
              <w:rPr>
                <w:rFonts w:hint="eastAsia" w:ascii="宋体" w:hAnsi="宋体"/>
                <w:color w:val="000000"/>
                <w:kern w:val="0"/>
                <w:sz w:val="24"/>
              </w:rPr>
              <w:t>小李庄桥</w:t>
            </w:r>
            <w:r>
              <w:rPr>
                <w:color w:val="000000"/>
                <w:kern w:val="0"/>
                <w:sz w:val="24"/>
              </w:rPr>
              <w:t>2</w:t>
            </w:r>
          </w:p>
        </w:tc>
      </w:tr>
      <w:tr>
        <w:tblPrEx>
          <w:tblLayout w:type="fixed"/>
          <w:tblCellMar>
            <w:top w:w="0" w:type="dxa"/>
            <w:left w:w="108" w:type="dxa"/>
            <w:bottom w:w="0" w:type="dxa"/>
            <w:right w:w="108" w:type="dxa"/>
          </w:tblCellMar>
        </w:tblPrEx>
        <w:trPr>
          <w:trHeight w:val="397" w:hRule="atLeast"/>
          <w:jc w:val="center"/>
        </w:trPr>
        <w:tc>
          <w:tcPr>
            <w:tcW w:w="1886"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16</w:t>
            </w:r>
          </w:p>
        </w:tc>
        <w:tc>
          <w:tcPr>
            <w:tcW w:w="5093" w:type="dxa"/>
            <w:tcBorders>
              <w:top w:val="nil"/>
              <w:left w:val="nil"/>
              <w:bottom w:val="single" w:color="auto" w:sz="4" w:space="0"/>
              <w:right w:val="single" w:color="auto" w:sz="4" w:space="0"/>
            </w:tcBorders>
            <w:shd w:val="clear" w:color="auto" w:fill="auto"/>
            <w:noWrap/>
            <w:vAlign w:val="bottom"/>
          </w:tcPr>
          <w:p>
            <w:pPr>
              <w:widowControl/>
              <w:jc w:val="center"/>
              <w:rPr>
                <w:color w:val="000000"/>
                <w:kern w:val="0"/>
                <w:sz w:val="24"/>
              </w:rPr>
            </w:pPr>
            <w:r>
              <w:rPr>
                <w:rFonts w:hint="eastAsia" w:ascii="宋体" w:hAnsi="宋体"/>
                <w:color w:val="000000"/>
                <w:kern w:val="0"/>
                <w:sz w:val="24"/>
              </w:rPr>
              <w:t>大运河进城汇河口</w:t>
            </w:r>
          </w:p>
        </w:tc>
      </w:tr>
      <w:tr>
        <w:tblPrEx>
          <w:tblLayout w:type="fixed"/>
          <w:tblCellMar>
            <w:top w:w="0" w:type="dxa"/>
            <w:left w:w="108" w:type="dxa"/>
            <w:bottom w:w="0" w:type="dxa"/>
            <w:right w:w="108" w:type="dxa"/>
          </w:tblCellMar>
        </w:tblPrEx>
        <w:trPr>
          <w:trHeight w:val="397" w:hRule="atLeast"/>
          <w:jc w:val="center"/>
        </w:trPr>
        <w:tc>
          <w:tcPr>
            <w:tcW w:w="1886"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17</w:t>
            </w:r>
          </w:p>
        </w:tc>
        <w:tc>
          <w:tcPr>
            <w:tcW w:w="5093" w:type="dxa"/>
            <w:tcBorders>
              <w:top w:val="nil"/>
              <w:left w:val="nil"/>
              <w:bottom w:val="single" w:color="auto" w:sz="4" w:space="0"/>
              <w:right w:val="single" w:color="auto" w:sz="4" w:space="0"/>
            </w:tcBorders>
            <w:shd w:val="clear" w:color="auto" w:fill="auto"/>
            <w:noWrap/>
            <w:vAlign w:val="bottom"/>
          </w:tcPr>
          <w:p>
            <w:pPr>
              <w:widowControl/>
              <w:jc w:val="center"/>
              <w:rPr>
                <w:color w:val="000000"/>
                <w:kern w:val="0"/>
                <w:sz w:val="24"/>
              </w:rPr>
            </w:pPr>
            <w:r>
              <w:rPr>
                <w:rFonts w:hint="eastAsia" w:ascii="宋体" w:hAnsi="宋体"/>
                <w:color w:val="000000"/>
                <w:kern w:val="0"/>
                <w:sz w:val="24"/>
              </w:rPr>
              <w:t>东二环路桥</w:t>
            </w:r>
          </w:p>
        </w:tc>
      </w:tr>
      <w:tr>
        <w:tblPrEx>
          <w:tblLayout w:type="fixed"/>
          <w:tblCellMar>
            <w:top w:w="0" w:type="dxa"/>
            <w:left w:w="108" w:type="dxa"/>
            <w:bottom w:w="0" w:type="dxa"/>
            <w:right w:w="108" w:type="dxa"/>
          </w:tblCellMar>
        </w:tblPrEx>
        <w:trPr>
          <w:trHeight w:val="397" w:hRule="atLeast"/>
          <w:jc w:val="center"/>
        </w:trPr>
        <w:tc>
          <w:tcPr>
            <w:tcW w:w="1886"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18</w:t>
            </w:r>
          </w:p>
        </w:tc>
        <w:tc>
          <w:tcPr>
            <w:tcW w:w="5093" w:type="dxa"/>
            <w:tcBorders>
              <w:top w:val="nil"/>
              <w:left w:val="nil"/>
              <w:bottom w:val="single" w:color="auto" w:sz="4" w:space="0"/>
              <w:right w:val="single" w:color="auto" w:sz="4" w:space="0"/>
            </w:tcBorders>
            <w:shd w:val="clear" w:color="auto" w:fill="FFFFFF" w:themeFill="background1"/>
            <w:noWrap/>
            <w:vAlign w:val="bottom"/>
          </w:tcPr>
          <w:p>
            <w:pPr>
              <w:widowControl/>
              <w:jc w:val="center"/>
              <w:rPr>
                <w:color w:val="000000"/>
                <w:kern w:val="0"/>
                <w:sz w:val="24"/>
              </w:rPr>
            </w:pPr>
            <w:r>
              <w:rPr>
                <w:rFonts w:hint="eastAsia" w:ascii="宋体" w:hAnsi="宋体"/>
                <w:color w:val="000000"/>
                <w:kern w:val="0"/>
                <w:sz w:val="24"/>
              </w:rPr>
              <w:t>运河首府路桥</w:t>
            </w:r>
          </w:p>
        </w:tc>
      </w:tr>
      <w:tr>
        <w:tblPrEx>
          <w:tblLayout w:type="fixed"/>
          <w:tblCellMar>
            <w:top w:w="0" w:type="dxa"/>
            <w:left w:w="108" w:type="dxa"/>
            <w:bottom w:w="0" w:type="dxa"/>
            <w:right w:w="108" w:type="dxa"/>
          </w:tblCellMar>
        </w:tblPrEx>
        <w:trPr>
          <w:trHeight w:val="397" w:hRule="atLeast"/>
          <w:jc w:val="center"/>
        </w:trPr>
        <w:tc>
          <w:tcPr>
            <w:tcW w:w="1886"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19</w:t>
            </w:r>
          </w:p>
        </w:tc>
        <w:tc>
          <w:tcPr>
            <w:tcW w:w="5093" w:type="dxa"/>
            <w:tcBorders>
              <w:top w:val="nil"/>
              <w:left w:val="nil"/>
              <w:bottom w:val="single" w:color="auto" w:sz="4" w:space="0"/>
              <w:right w:val="single" w:color="auto" w:sz="4" w:space="0"/>
            </w:tcBorders>
            <w:shd w:val="clear" w:color="auto" w:fill="auto"/>
            <w:noWrap/>
            <w:vAlign w:val="bottom"/>
          </w:tcPr>
          <w:p>
            <w:pPr>
              <w:widowControl/>
              <w:jc w:val="center"/>
              <w:rPr>
                <w:color w:val="000000"/>
                <w:kern w:val="0"/>
                <w:sz w:val="24"/>
              </w:rPr>
            </w:pPr>
            <w:r>
              <w:rPr>
                <w:rFonts w:hint="eastAsia" w:ascii="宋体" w:hAnsi="宋体"/>
                <w:color w:val="000000"/>
                <w:kern w:val="0"/>
                <w:sz w:val="24"/>
              </w:rPr>
              <w:t>韩王庄桥</w:t>
            </w:r>
          </w:p>
        </w:tc>
      </w:tr>
      <w:tr>
        <w:tblPrEx>
          <w:tblLayout w:type="fixed"/>
          <w:tblCellMar>
            <w:top w:w="0" w:type="dxa"/>
            <w:left w:w="108" w:type="dxa"/>
            <w:bottom w:w="0" w:type="dxa"/>
            <w:right w:w="108" w:type="dxa"/>
          </w:tblCellMar>
        </w:tblPrEx>
        <w:trPr>
          <w:trHeight w:val="397" w:hRule="atLeast"/>
          <w:jc w:val="center"/>
        </w:trPr>
        <w:tc>
          <w:tcPr>
            <w:tcW w:w="1886"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20</w:t>
            </w:r>
          </w:p>
        </w:tc>
        <w:tc>
          <w:tcPr>
            <w:tcW w:w="5093" w:type="dxa"/>
            <w:tcBorders>
              <w:top w:val="nil"/>
              <w:left w:val="nil"/>
              <w:bottom w:val="single" w:color="auto" w:sz="4" w:space="0"/>
              <w:right w:val="single" w:color="auto" w:sz="4" w:space="0"/>
            </w:tcBorders>
            <w:shd w:val="clear" w:color="auto" w:fill="auto"/>
            <w:noWrap/>
            <w:vAlign w:val="bottom"/>
          </w:tcPr>
          <w:p>
            <w:pPr>
              <w:widowControl/>
              <w:jc w:val="center"/>
              <w:rPr>
                <w:color w:val="000000"/>
                <w:kern w:val="0"/>
                <w:sz w:val="24"/>
              </w:rPr>
            </w:pPr>
            <w:r>
              <w:rPr>
                <w:rFonts w:hint="eastAsia" w:ascii="宋体" w:hAnsi="宋体"/>
                <w:color w:val="000000"/>
                <w:kern w:val="0"/>
                <w:sz w:val="24"/>
              </w:rPr>
              <w:t>赤山路桥</w:t>
            </w:r>
          </w:p>
        </w:tc>
      </w:tr>
      <w:tr>
        <w:tblPrEx>
          <w:tblLayout w:type="fixed"/>
          <w:tblCellMar>
            <w:top w:w="0" w:type="dxa"/>
            <w:left w:w="108" w:type="dxa"/>
            <w:bottom w:w="0" w:type="dxa"/>
            <w:right w:w="108" w:type="dxa"/>
          </w:tblCellMar>
        </w:tblPrEx>
        <w:trPr>
          <w:trHeight w:val="397" w:hRule="atLeast"/>
          <w:jc w:val="center"/>
        </w:trPr>
        <w:tc>
          <w:tcPr>
            <w:tcW w:w="1886"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21</w:t>
            </w:r>
          </w:p>
        </w:tc>
        <w:tc>
          <w:tcPr>
            <w:tcW w:w="5093" w:type="dxa"/>
            <w:tcBorders>
              <w:top w:val="nil"/>
              <w:left w:val="nil"/>
              <w:bottom w:val="single" w:color="auto" w:sz="4" w:space="0"/>
              <w:right w:val="single" w:color="auto" w:sz="4" w:space="0"/>
            </w:tcBorders>
            <w:shd w:val="clear" w:color="auto" w:fill="auto"/>
            <w:noWrap/>
            <w:vAlign w:val="bottom"/>
          </w:tcPr>
          <w:p>
            <w:pPr>
              <w:widowControl/>
              <w:jc w:val="center"/>
              <w:rPr>
                <w:color w:val="000000"/>
                <w:kern w:val="0"/>
                <w:sz w:val="24"/>
              </w:rPr>
            </w:pPr>
            <w:r>
              <w:rPr>
                <w:color w:val="000000"/>
                <w:kern w:val="0"/>
                <w:sz w:val="24"/>
              </w:rPr>
              <w:t>053</w:t>
            </w:r>
            <w:r>
              <w:rPr>
                <w:rFonts w:hint="eastAsia" w:ascii="宋体" w:hAnsi="宋体"/>
                <w:color w:val="000000"/>
                <w:kern w:val="0"/>
                <w:sz w:val="24"/>
              </w:rPr>
              <w:t>县道桥</w:t>
            </w:r>
          </w:p>
        </w:tc>
      </w:tr>
    </w:tbl>
    <w:p>
      <w:pPr>
        <w:spacing w:line="360" w:lineRule="auto"/>
        <w:jc w:val="center"/>
        <w:rPr>
          <w:b/>
          <w:bCs/>
          <w:color w:val="FF0000"/>
          <w:sz w:val="28"/>
          <w:szCs w:val="28"/>
        </w:rPr>
        <w:sectPr>
          <w:footerReference r:id="rId19" w:type="default"/>
          <w:pgSz w:w="11906" w:h="16838"/>
          <w:pgMar w:top="1440" w:right="1797" w:bottom="1440" w:left="1797" w:header="227" w:footer="1077" w:gutter="0"/>
          <w:cols w:space="425" w:num="1"/>
          <w:docGrid w:type="lines" w:linePitch="312" w:charSpace="0"/>
        </w:sectPr>
      </w:pPr>
    </w:p>
    <w:p>
      <w:pPr>
        <w:spacing w:line="360" w:lineRule="auto"/>
        <w:jc w:val="center"/>
        <w:rPr>
          <w:b/>
          <w:bCs/>
          <w:color w:val="FF0000"/>
          <w:sz w:val="28"/>
          <w:szCs w:val="28"/>
        </w:rPr>
      </w:pPr>
      <w:r>
        <w:rPr>
          <w:b/>
          <w:bCs/>
          <w:color w:val="FF0000"/>
          <w:sz w:val="28"/>
          <w:szCs w:val="28"/>
        </w:rPr>
        <w:drawing>
          <wp:inline distT="0" distB="0" distL="0" distR="0">
            <wp:extent cx="8864600" cy="4143375"/>
            <wp:effectExtent l="0" t="0" r="0" b="0"/>
            <wp:docPr id="21" name="图片 21" descr="C:\Users\ADMINI~1\AppData\Local\Temp\WeChat Files\27b0c905047d1c3e2c4ff6d10b8ef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1\AppData\Local\Temp\WeChat Files\27b0c905047d1c3e2c4ff6d10b8efd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8863330" cy="4142767"/>
                    </a:xfrm>
                    <a:prstGeom prst="rect">
                      <a:avLst/>
                    </a:prstGeom>
                    <a:noFill/>
                    <a:ln>
                      <a:noFill/>
                    </a:ln>
                  </pic:spPr>
                </pic:pic>
              </a:graphicData>
            </a:graphic>
          </wp:inline>
        </w:drawing>
      </w:r>
    </w:p>
    <w:p>
      <w:pPr>
        <w:spacing w:line="360" w:lineRule="auto"/>
        <w:jc w:val="center"/>
        <w:rPr>
          <w:b/>
          <w:bCs/>
          <w:sz w:val="24"/>
        </w:rPr>
      </w:pPr>
      <w:r>
        <w:rPr>
          <w:rFonts w:hint="eastAsia"/>
          <w:b/>
          <w:bCs/>
          <w:sz w:val="24"/>
        </w:rPr>
        <w:t>图2-3  大运河宿州段监测点位分布示意图</w:t>
      </w:r>
    </w:p>
    <w:p>
      <w:pPr>
        <w:spacing w:line="360" w:lineRule="auto"/>
        <w:jc w:val="center"/>
        <w:rPr>
          <w:rFonts w:hAnsi="仿宋" w:eastAsia="仿宋"/>
          <w:b/>
          <w:sz w:val="24"/>
        </w:rPr>
        <w:sectPr>
          <w:footerReference r:id="rId20" w:type="default"/>
          <w:pgSz w:w="16838" w:h="11906" w:orient="landscape"/>
          <w:pgMar w:top="1797" w:right="1440" w:bottom="1797" w:left="1440" w:header="567" w:footer="1417" w:gutter="0"/>
          <w:cols w:space="425" w:num="1"/>
          <w:docGrid w:type="lines" w:linePitch="312" w:charSpace="0"/>
        </w:sectPr>
      </w:pPr>
    </w:p>
    <w:p>
      <w:pPr>
        <w:pStyle w:val="25"/>
        <w:spacing w:before="156" w:after="156"/>
        <w:ind w:left="0" w:leftChars="0"/>
      </w:pPr>
      <w:bookmarkStart w:id="113" w:name="_Toc84536524"/>
      <w:r>
        <w:rPr>
          <w:rFonts w:hint="eastAsia"/>
        </w:rPr>
        <w:t xml:space="preserve">2.3.2 </w:t>
      </w:r>
      <w:r>
        <w:t>监测指标确定</w:t>
      </w:r>
      <w:bookmarkEnd w:id="113"/>
    </w:p>
    <w:p>
      <w:pPr>
        <w:spacing w:line="360" w:lineRule="auto"/>
        <w:ind w:firstLine="560" w:firstLineChars="200"/>
        <w:rPr>
          <w:rFonts w:eastAsiaTheme="minorEastAsia"/>
          <w:sz w:val="28"/>
          <w:szCs w:val="28"/>
        </w:rPr>
      </w:pPr>
      <w:r>
        <w:rPr>
          <w:rFonts w:hint="eastAsia" w:eastAsiaTheme="minorEastAsia"/>
          <w:sz w:val="28"/>
          <w:szCs w:val="28"/>
        </w:rPr>
        <w:t>依据大运河宿州段流域水质目标要求，大运河宿州段基本消除劣Ⅴ类水体。采用单因子评价方法，评价的主要因子为水温、</w:t>
      </w:r>
      <w:r>
        <w:rPr>
          <w:rFonts w:eastAsiaTheme="minorEastAsia"/>
          <w:sz w:val="28"/>
          <w:szCs w:val="28"/>
        </w:rPr>
        <w:t>COD、氨氮、总磷、总氮、溶解氧、pH。</w:t>
      </w:r>
    </w:p>
    <w:p>
      <w:pPr>
        <w:pStyle w:val="25"/>
        <w:spacing w:before="156" w:after="156"/>
        <w:ind w:left="0" w:leftChars="0"/>
      </w:pPr>
      <w:bookmarkStart w:id="114" w:name="_Toc84536525"/>
      <w:r>
        <w:rPr>
          <w:rFonts w:hint="eastAsia"/>
        </w:rPr>
        <w:t xml:space="preserve">2.3.3 </w:t>
      </w:r>
      <w:r>
        <w:t>采样及分析方法</w:t>
      </w:r>
      <w:bookmarkEnd w:id="114"/>
    </w:p>
    <w:p>
      <w:pPr>
        <w:spacing w:line="360" w:lineRule="auto"/>
        <w:ind w:firstLine="560" w:firstLineChars="200"/>
        <w:rPr>
          <w:rFonts w:eastAsiaTheme="minorEastAsia"/>
          <w:sz w:val="28"/>
          <w:szCs w:val="28"/>
        </w:rPr>
      </w:pPr>
      <w:r>
        <w:rPr>
          <w:rFonts w:eastAsiaTheme="minorEastAsia"/>
          <w:sz w:val="28"/>
          <w:szCs w:val="28"/>
        </w:rPr>
        <w:t>采样及分析方法按HT/T91-2002《地表水和污水监测技术规范》进行，见表</w:t>
      </w:r>
      <w:r>
        <w:rPr>
          <w:rFonts w:hint="eastAsia" w:eastAsiaTheme="minorEastAsia"/>
          <w:sz w:val="28"/>
          <w:szCs w:val="28"/>
        </w:rPr>
        <w:t>2-6</w:t>
      </w:r>
      <w:r>
        <w:rPr>
          <w:rFonts w:eastAsiaTheme="minorEastAsia"/>
          <w:sz w:val="28"/>
          <w:szCs w:val="28"/>
        </w:rPr>
        <w:t>。</w:t>
      </w:r>
    </w:p>
    <w:p>
      <w:pPr>
        <w:spacing w:line="360" w:lineRule="auto"/>
        <w:jc w:val="center"/>
        <w:rPr>
          <w:b/>
          <w:bCs/>
          <w:sz w:val="24"/>
        </w:rPr>
      </w:pPr>
      <w:r>
        <w:rPr>
          <w:b/>
          <w:bCs/>
          <w:sz w:val="24"/>
        </w:rPr>
        <w:t>表</w:t>
      </w:r>
      <w:r>
        <w:rPr>
          <w:rFonts w:hint="eastAsia"/>
          <w:b/>
          <w:bCs/>
          <w:sz w:val="24"/>
        </w:rPr>
        <w:t xml:space="preserve">2-6 </w:t>
      </w:r>
      <w:r>
        <w:rPr>
          <w:b/>
          <w:bCs/>
          <w:sz w:val="24"/>
        </w:rPr>
        <w:t xml:space="preserve"> 采样与分析方法</w:t>
      </w:r>
    </w:p>
    <w:tbl>
      <w:tblPr>
        <w:tblStyle w:val="28"/>
        <w:tblW w:w="800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0"/>
        <w:gridCol w:w="1439"/>
        <w:gridCol w:w="3936"/>
        <w:gridCol w:w="17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jc w:val="center"/>
        </w:trPr>
        <w:tc>
          <w:tcPr>
            <w:tcW w:w="850" w:type="dxa"/>
            <w:vAlign w:val="center"/>
          </w:tcPr>
          <w:p>
            <w:pPr>
              <w:widowControl/>
              <w:jc w:val="center"/>
              <w:rPr>
                <w:b/>
                <w:bCs/>
                <w:color w:val="000000"/>
                <w:kern w:val="0"/>
                <w:sz w:val="24"/>
              </w:rPr>
            </w:pPr>
            <w:r>
              <w:rPr>
                <w:b/>
                <w:bCs/>
                <w:color w:val="000000"/>
                <w:kern w:val="0"/>
                <w:sz w:val="24"/>
              </w:rPr>
              <w:t>序号</w:t>
            </w:r>
          </w:p>
        </w:tc>
        <w:tc>
          <w:tcPr>
            <w:tcW w:w="1439" w:type="dxa"/>
            <w:vAlign w:val="center"/>
          </w:tcPr>
          <w:p>
            <w:pPr>
              <w:widowControl/>
              <w:jc w:val="center"/>
              <w:rPr>
                <w:b/>
                <w:bCs/>
                <w:color w:val="000000"/>
                <w:kern w:val="0"/>
                <w:sz w:val="24"/>
              </w:rPr>
            </w:pPr>
            <w:r>
              <w:rPr>
                <w:b/>
                <w:bCs/>
                <w:color w:val="000000"/>
                <w:kern w:val="0"/>
                <w:sz w:val="24"/>
              </w:rPr>
              <w:t>监测项目</w:t>
            </w:r>
          </w:p>
        </w:tc>
        <w:tc>
          <w:tcPr>
            <w:tcW w:w="3936" w:type="dxa"/>
            <w:vAlign w:val="center"/>
          </w:tcPr>
          <w:p>
            <w:pPr>
              <w:widowControl/>
              <w:jc w:val="center"/>
              <w:rPr>
                <w:b/>
                <w:bCs/>
                <w:color w:val="000000"/>
                <w:kern w:val="0"/>
                <w:sz w:val="24"/>
              </w:rPr>
            </w:pPr>
            <w:r>
              <w:rPr>
                <w:b/>
                <w:bCs/>
                <w:color w:val="000000"/>
                <w:kern w:val="0"/>
                <w:sz w:val="24"/>
              </w:rPr>
              <w:t>监测方法</w:t>
            </w:r>
          </w:p>
        </w:tc>
        <w:tc>
          <w:tcPr>
            <w:tcW w:w="1781" w:type="dxa"/>
            <w:vAlign w:val="center"/>
          </w:tcPr>
          <w:p>
            <w:pPr>
              <w:widowControl/>
              <w:jc w:val="center"/>
              <w:rPr>
                <w:b/>
                <w:bCs/>
                <w:color w:val="000000"/>
                <w:kern w:val="0"/>
                <w:sz w:val="24"/>
              </w:rPr>
            </w:pPr>
            <w:r>
              <w:rPr>
                <w:b/>
                <w:bCs/>
                <w:color w:val="000000"/>
                <w:kern w:val="0"/>
                <w:sz w:val="24"/>
              </w:rPr>
              <w:t>方法来源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50" w:type="dxa"/>
            <w:vAlign w:val="center"/>
          </w:tcPr>
          <w:p>
            <w:pPr>
              <w:widowControl/>
              <w:jc w:val="center"/>
              <w:rPr>
                <w:bCs/>
                <w:color w:val="000000"/>
                <w:kern w:val="0"/>
                <w:sz w:val="24"/>
              </w:rPr>
            </w:pPr>
            <w:r>
              <w:rPr>
                <w:bCs/>
                <w:color w:val="000000"/>
                <w:kern w:val="0"/>
                <w:sz w:val="24"/>
              </w:rPr>
              <w:t>1</w:t>
            </w:r>
          </w:p>
        </w:tc>
        <w:tc>
          <w:tcPr>
            <w:tcW w:w="1439" w:type="dxa"/>
            <w:vAlign w:val="center"/>
          </w:tcPr>
          <w:p>
            <w:pPr>
              <w:widowControl/>
              <w:jc w:val="center"/>
              <w:rPr>
                <w:bCs/>
                <w:color w:val="000000"/>
                <w:kern w:val="0"/>
                <w:sz w:val="24"/>
              </w:rPr>
            </w:pPr>
            <w:r>
              <w:rPr>
                <w:bCs/>
                <w:color w:val="000000"/>
                <w:kern w:val="0"/>
                <w:sz w:val="24"/>
              </w:rPr>
              <w:t>水温</w:t>
            </w:r>
          </w:p>
        </w:tc>
        <w:tc>
          <w:tcPr>
            <w:tcW w:w="3936" w:type="dxa"/>
            <w:vAlign w:val="center"/>
          </w:tcPr>
          <w:p>
            <w:pPr>
              <w:widowControl/>
              <w:jc w:val="center"/>
              <w:rPr>
                <w:bCs/>
                <w:color w:val="000000"/>
                <w:kern w:val="0"/>
                <w:sz w:val="24"/>
              </w:rPr>
            </w:pPr>
            <w:r>
              <w:rPr>
                <w:bCs/>
                <w:color w:val="000000"/>
                <w:kern w:val="0"/>
                <w:sz w:val="24"/>
              </w:rPr>
              <w:t>温度计法</w:t>
            </w:r>
          </w:p>
        </w:tc>
        <w:tc>
          <w:tcPr>
            <w:tcW w:w="1781" w:type="dxa"/>
            <w:vAlign w:val="center"/>
          </w:tcPr>
          <w:p>
            <w:pPr>
              <w:widowControl/>
              <w:jc w:val="center"/>
              <w:rPr>
                <w:bCs/>
                <w:color w:val="000000"/>
                <w:kern w:val="0"/>
                <w:sz w:val="24"/>
              </w:rPr>
            </w:pPr>
            <w:r>
              <w:rPr>
                <w:bCs/>
                <w:color w:val="000000"/>
                <w:kern w:val="0"/>
                <w:sz w:val="24"/>
              </w:rPr>
              <w:t>GB13195-91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50" w:type="dxa"/>
            <w:vAlign w:val="center"/>
          </w:tcPr>
          <w:p>
            <w:pPr>
              <w:widowControl/>
              <w:jc w:val="center"/>
              <w:rPr>
                <w:bCs/>
                <w:color w:val="000000"/>
                <w:kern w:val="0"/>
                <w:sz w:val="24"/>
              </w:rPr>
            </w:pPr>
            <w:r>
              <w:rPr>
                <w:bCs/>
                <w:color w:val="000000"/>
                <w:kern w:val="0"/>
                <w:sz w:val="24"/>
              </w:rPr>
              <w:t>2</w:t>
            </w:r>
          </w:p>
        </w:tc>
        <w:tc>
          <w:tcPr>
            <w:tcW w:w="1439" w:type="dxa"/>
            <w:vAlign w:val="center"/>
          </w:tcPr>
          <w:p>
            <w:pPr>
              <w:widowControl/>
              <w:jc w:val="center"/>
              <w:rPr>
                <w:bCs/>
                <w:color w:val="000000"/>
                <w:kern w:val="0"/>
                <w:sz w:val="24"/>
              </w:rPr>
            </w:pPr>
            <w:r>
              <w:rPr>
                <w:bCs/>
                <w:color w:val="000000"/>
                <w:kern w:val="0"/>
                <w:sz w:val="24"/>
              </w:rPr>
              <w:t>pH</w:t>
            </w:r>
          </w:p>
        </w:tc>
        <w:tc>
          <w:tcPr>
            <w:tcW w:w="3936" w:type="dxa"/>
            <w:vAlign w:val="center"/>
          </w:tcPr>
          <w:p>
            <w:pPr>
              <w:widowControl/>
              <w:jc w:val="center"/>
              <w:rPr>
                <w:bCs/>
                <w:color w:val="000000"/>
                <w:kern w:val="0"/>
                <w:sz w:val="24"/>
              </w:rPr>
            </w:pPr>
            <w:r>
              <w:rPr>
                <w:bCs/>
                <w:color w:val="000000"/>
                <w:kern w:val="0"/>
                <w:sz w:val="24"/>
              </w:rPr>
              <w:t>玻璃电极法</w:t>
            </w:r>
          </w:p>
        </w:tc>
        <w:tc>
          <w:tcPr>
            <w:tcW w:w="1781" w:type="dxa"/>
            <w:vAlign w:val="center"/>
          </w:tcPr>
          <w:p>
            <w:pPr>
              <w:widowControl/>
              <w:jc w:val="center"/>
              <w:rPr>
                <w:bCs/>
                <w:color w:val="000000"/>
                <w:kern w:val="0"/>
                <w:sz w:val="24"/>
              </w:rPr>
            </w:pPr>
            <w:r>
              <w:rPr>
                <w:bCs/>
                <w:color w:val="000000"/>
                <w:kern w:val="0"/>
                <w:sz w:val="24"/>
              </w:rPr>
              <w:t>GB6920-86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50" w:type="dxa"/>
            <w:vAlign w:val="center"/>
          </w:tcPr>
          <w:p>
            <w:pPr>
              <w:widowControl/>
              <w:jc w:val="center"/>
              <w:rPr>
                <w:bCs/>
                <w:color w:val="000000"/>
                <w:kern w:val="0"/>
                <w:sz w:val="24"/>
              </w:rPr>
            </w:pPr>
            <w:r>
              <w:rPr>
                <w:rFonts w:hint="eastAsia"/>
                <w:bCs/>
                <w:color w:val="000000"/>
                <w:kern w:val="0"/>
                <w:sz w:val="24"/>
              </w:rPr>
              <w:t>3</w:t>
            </w:r>
          </w:p>
        </w:tc>
        <w:tc>
          <w:tcPr>
            <w:tcW w:w="1439" w:type="dxa"/>
            <w:vAlign w:val="center"/>
          </w:tcPr>
          <w:p>
            <w:pPr>
              <w:widowControl/>
              <w:jc w:val="center"/>
              <w:rPr>
                <w:bCs/>
                <w:color w:val="000000"/>
                <w:kern w:val="0"/>
                <w:sz w:val="24"/>
              </w:rPr>
            </w:pPr>
            <w:r>
              <w:rPr>
                <w:bCs/>
                <w:color w:val="000000"/>
                <w:kern w:val="0"/>
                <w:sz w:val="24"/>
              </w:rPr>
              <w:t>COD</w:t>
            </w:r>
          </w:p>
        </w:tc>
        <w:tc>
          <w:tcPr>
            <w:tcW w:w="3936" w:type="dxa"/>
            <w:vAlign w:val="center"/>
          </w:tcPr>
          <w:p>
            <w:pPr>
              <w:widowControl/>
              <w:jc w:val="center"/>
              <w:rPr>
                <w:bCs/>
                <w:color w:val="000000"/>
                <w:kern w:val="0"/>
                <w:sz w:val="24"/>
              </w:rPr>
            </w:pPr>
            <w:r>
              <w:rPr>
                <w:bCs/>
                <w:color w:val="000000"/>
                <w:kern w:val="0"/>
                <w:sz w:val="24"/>
              </w:rPr>
              <w:t>重铬酸盐法</w:t>
            </w:r>
          </w:p>
        </w:tc>
        <w:tc>
          <w:tcPr>
            <w:tcW w:w="1781" w:type="dxa"/>
            <w:vAlign w:val="center"/>
          </w:tcPr>
          <w:p>
            <w:pPr>
              <w:widowControl/>
              <w:jc w:val="center"/>
              <w:rPr>
                <w:bCs/>
                <w:color w:val="000000"/>
                <w:kern w:val="0"/>
                <w:sz w:val="24"/>
              </w:rPr>
            </w:pPr>
            <w:r>
              <w:rPr>
                <w:bCs/>
                <w:color w:val="000000"/>
                <w:kern w:val="0"/>
                <w:sz w:val="24"/>
              </w:rPr>
              <w:t>GB11914-89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50" w:type="dxa"/>
            <w:vAlign w:val="center"/>
          </w:tcPr>
          <w:p>
            <w:pPr>
              <w:widowControl/>
              <w:jc w:val="center"/>
              <w:rPr>
                <w:bCs/>
                <w:color w:val="000000"/>
                <w:kern w:val="0"/>
                <w:sz w:val="24"/>
              </w:rPr>
            </w:pPr>
            <w:r>
              <w:rPr>
                <w:bCs/>
                <w:color w:val="000000"/>
                <w:kern w:val="0"/>
                <w:sz w:val="24"/>
              </w:rPr>
              <w:t>4</w:t>
            </w:r>
          </w:p>
        </w:tc>
        <w:tc>
          <w:tcPr>
            <w:tcW w:w="1439" w:type="dxa"/>
            <w:vAlign w:val="center"/>
          </w:tcPr>
          <w:p>
            <w:pPr>
              <w:widowControl/>
              <w:jc w:val="center"/>
              <w:rPr>
                <w:bCs/>
                <w:color w:val="000000"/>
                <w:kern w:val="0"/>
                <w:sz w:val="24"/>
              </w:rPr>
            </w:pPr>
            <w:r>
              <w:rPr>
                <w:bCs/>
                <w:color w:val="000000"/>
                <w:kern w:val="0"/>
                <w:sz w:val="24"/>
              </w:rPr>
              <w:t>NH</w:t>
            </w:r>
            <w:r>
              <w:rPr>
                <w:bCs/>
                <w:color w:val="000000"/>
                <w:kern w:val="0"/>
                <w:sz w:val="24"/>
                <w:vertAlign w:val="subscript"/>
              </w:rPr>
              <w:t>3</w:t>
            </w:r>
            <w:r>
              <w:rPr>
                <w:bCs/>
                <w:color w:val="000000"/>
                <w:kern w:val="0"/>
                <w:sz w:val="24"/>
              </w:rPr>
              <w:t>-N</w:t>
            </w:r>
          </w:p>
        </w:tc>
        <w:tc>
          <w:tcPr>
            <w:tcW w:w="3936" w:type="dxa"/>
            <w:vAlign w:val="center"/>
          </w:tcPr>
          <w:p>
            <w:pPr>
              <w:widowControl/>
              <w:jc w:val="center"/>
              <w:rPr>
                <w:bCs/>
                <w:color w:val="000000"/>
                <w:kern w:val="0"/>
                <w:sz w:val="24"/>
              </w:rPr>
            </w:pPr>
            <w:r>
              <w:rPr>
                <w:bCs/>
                <w:color w:val="000000"/>
                <w:kern w:val="0"/>
                <w:sz w:val="24"/>
              </w:rPr>
              <w:t>纳氏试剂分光光度法</w:t>
            </w:r>
          </w:p>
        </w:tc>
        <w:tc>
          <w:tcPr>
            <w:tcW w:w="1781" w:type="dxa"/>
            <w:vAlign w:val="center"/>
          </w:tcPr>
          <w:p>
            <w:pPr>
              <w:widowControl/>
              <w:jc w:val="center"/>
              <w:rPr>
                <w:bCs/>
                <w:color w:val="000000"/>
                <w:kern w:val="0"/>
                <w:sz w:val="24"/>
              </w:rPr>
            </w:pPr>
            <w:r>
              <w:rPr>
                <w:bCs/>
                <w:color w:val="000000"/>
                <w:kern w:val="0"/>
                <w:sz w:val="24"/>
              </w:rPr>
              <w:t>HJ535-2009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50" w:type="dxa"/>
            <w:vAlign w:val="center"/>
          </w:tcPr>
          <w:p>
            <w:pPr>
              <w:widowControl/>
              <w:jc w:val="center"/>
              <w:rPr>
                <w:bCs/>
                <w:color w:val="000000"/>
                <w:kern w:val="0"/>
                <w:sz w:val="24"/>
              </w:rPr>
            </w:pPr>
            <w:r>
              <w:rPr>
                <w:rFonts w:hint="eastAsia"/>
                <w:bCs/>
                <w:color w:val="000000"/>
                <w:kern w:val="0"/>
                <w:sz w:val="24"/>
              </w:rPr>
              <w:t>5</w:t>
            </w:r>
          </w:p>
        </w:tc>
        <w:tc>
          <w:tcPr>
            <w:tcW w:w="1439" w:type="dxa"/>
            <w:vAlign w:val="center"/>
          </w:tcPr>
          <w:p>
            <w:pPr>
              <w:widowControl/>
              <w:jc w:val="center"/>
              <w:rPr>
                <w:bCs/>
                <w:color w:val="000000"/>
                <w:kern w:val="0"/>
                <w:sz w:val="24"/>
              </w:rPr>
            </w:pPr>
            <w:r>
              <w:rPr>
                <w:bCs/>
                <w:color w:val="000000"/>
                <w:kern w:val="0"/>
                <w:sz w:val="24"/>
              </w:rPr>
              <w:t>TP</w:t>
            </w:r>
          </w:p>
        </w:tc>
        <w:tc>
          <w:tcPr>
            <w:tcW w:w="3936" w:type="dxa"/>
            <w:vAlign w:val="center"/>
          </w:tcPr>
          <w:p>
            <w:pPr>
              <w:widowControl/>
              <w:jc w:val="center"/>
              <w:rPr>
                <w:bCs/>
                <w:color w:val="000000"/>
                <w:kern w:val="0"/>
                <w:sz w:val="24"/>
              </w:rPr>
            </w:pPr>
            <w:r>
              <w:rPr>
                <w:bCs/>
                <w:color w:val="000000"/>
                <w:kern w:val="0"/>
                <w:sz w:val="24"/>
              </w:rPr>
              <w:t>钼酸铵分光光度法</w:t>
            </w:r>
          </w:p>
        </w:tc>
        <w:tc>
          <w:tcPr>
            <w:tcW w:w="1781" w:type="dxa"/>
            <w:vAlign w:val="center"/>
          </w:tcPr>
          <w:p>
            <w:pPr>
              <w:widowControl/>
              <w:jc w:val="center"/>
              <w:rPr>
                <w:bCs/>
                <w:color w:val="000000"/>
                <w:kern w:val="0"/>
                <w:sz w:val="24"/>
              </w:rPr>
            </w:pPr>
            <w:r>
              <w:rPr>
                <w:bCs/>
                <w:color w:val="000000"/>
                <w:kern w:val="0"/>
                <w:sz w:val="24"/>
              </w:rPr>
              <w:t>GB11893-89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50" w:type="dxa"/>
            <w:vAlign w:val="center"/>
          </w:tcPr>
          <w:p>
            <w:pPr>
              <w:widowControl/>
              <w:jc w:val="center"/>
              <w:rPr>
                <w:bCs/>
                <w:color w:val="000000"/>
                <w:kern w:val="0"/>
                <w:sz w:val="24"/>
              </w:rPr>
            </w:pPr>
            <w:r>
              <w:rPr>
                <w:rFonts w:hint="eastAsia"/>
                <w:bCs/>
                <w:color w:val="000000"/>
                <w:kern w:val="0"/>
                <w:sz w:val="24"/>
              </w:rPr>
              <w:t>6</w:t>
            </w:r>
          </w:p>
        </w:tc>
        <w:tc>
          <w:tcPr>
            <w:tcW w:w="1439" w:type="dxa"/>
            <w:vAlign w:val="center"/>
          </w:tcPr>
          <w:p>
            <w:pPr>
              <w:widowControl/>
              <w:jc w:val="center"/>
              <w:rPr>
                <w:bCs/>
                <w:color w:val="000000"/>
                <w:kern w:val="0"/>
                <w:sz w:val="24"/>
              </w:rPr>
            </w:pPr>
            <w:r>
              <w:rPr>
                <w:bCs/>
                <w:color w:val="000000"/>
                <w:kern w:val="0"/>
                <w:sz w:val="24"/>
              </w:rPr>
              <w:t>TN</w:t>
            </w:r>
          </w:p>
        </w:tc>
        <w:tc>
          <w:tcPr>
            <w:tcW w:w="3936" w:type="dxa"/>
            <w:vAlign w:val="center"/>
          </w:tcPr>
          <w:p>
            <w:pPr>
              <w:widowControl/>
              <w:jc w:val="center"/>
              <w:rPr>
                <w:bCs/>
                <w:color w:val="000000"/>
                <w:kern w:val="0"/>
                <w:sz w:val="24"/>
              </w:rPr>
            </w:pPr>
            <w:r>
              <w:rPr>
                <w:bCs/>
                <w:color w:val="000000"/>
                <w:kern w:val="0"/>
                <w:sz w:val="24"/>
              </w:rPr>
              <w:t>碱性过硫酸钾消解紫外分光光度法</w:t>
            </w:r>
          </w:p>
        </w:tc>
        <w:tc>
          <w:tcPr>
            <w:tcW w:w="1781" w:type="dxa"/>
            <w:vAlign w:val="center"/>
          </w:tcPr>
          <w:p>
            <w:pPr>
              <w:widowControl/>
              <w:jc w:val="center"/>
              <w:rPr>
                <w:bCs/>
                <w:color w:val="000000"/>
                <w:kern w:val="0"/>
                <w:sz w:val="24"/>
              </w:rPr>
            </w:pPr>
            <w:r>
              <w:rPr>
                <w:bCs/>
                <w:color w:val="000000"/>
                <w:kern w:val="0"/>
                <w:sz w:val="24"/>
              </w:rPr>
              <w:t>HJ636-2012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850" w:type="dxa"/>
            <w:vAlign w:val="center"/>
          </w:tcPr>
          <w:p>
            <w:pPr>
              <w:widowControl/>
              <w:jc w:val="center"/>
              <w:rPr>
                <w:bCs/>
                <w:color w:val="000000"/>
                <w:kern w:val="0"/>
                <w:sz w:val="24"/>
              </w:rPr>
            </w:pPr>
            <w:r>
              <w:rPr>
                <w:rFonts w:hint="eastAsia"/>
                <w:bCs/>
                <w:color w:val="000000"/>
                <w:kern w:val="0"/>
                <w:sz w:val="24"/>
              </w:rPr>
              <w:t>7</w:t>
            </w:r>
          </w:p>
        </w:tc>
        <w:tc>
          <w:tcPr>
            <w:tcW w:w="1439" w:type="dxa"/>
            <w:vAlign w:val="center"/>
          </w:tcPr>
          <w:p>
            <w:pPr>
              <w:widowControl/>
              <w:jc w:val="center"/>
              <w:rPr>
                <w:bCs/>
                <w:color w:val="000000"/>
                <w:kern w:val="0"/>
                <w:sz w:val="24"/>
              </w:rPr>
            </w:pPr>
            <w:r>
              <w:rPr>
                <w:bCs/>
                <w:color w:val="000000"/>
                <w:kern w:val="0"/>
                <w:sz w:val="24"/>
              </w:rPr>
              <w:t>溶解氧</w:t>
            </w:r>
          </w:p>
        </w:tc>
        <w:tc>
          <w:tcPr>
            <w:tcW w:w="3936" w:type="dxa"/>
            <w:vAlign w:val="center"/>
          </w:tcPr>
          <w:p>
            <w:pPr>
              <w:widowControl/>
              <w:jc w:val="center"/>
              <w:rPr>
                <w:bCs/>
                <w:color w:val="000000"/>
                <w:kern w:val="0"/>
                <w:sz w:val="24"/>
              </w:rPr>
            </w:pPr>
            <w:r>
              <w:rPr>
                <w:bCs/>
                <w:color w:val="000000"/>
                <w:kern w:val="0"/>
                <w:sz w:val="24"/>
              </w:rPr>
              <w:t>电化学探头法</w:t>
            </w:r>
          </w:p>
        </w:tc>
        <w:tc>
          <w:tcPr>
            <w:tcW w:w="1781" w:type="dxa"/>
            <w:vAlign w:val="center"/>
          </w:tcPr>
          <w:p>
            <w:pPr>
              <w:widowControl/>
              <w:jc w:val="center"/>
              <w:rPr>
                <w:bCs/>
                <w:color w:val="000000"/>
                <w:kern w:val="0"/>
                <w:sz w:val="24"/>
              </w:rPr>
            </w:pPr>
            <w:r>
              <w:rPr>
                <w:bCs/>
                <w:color w:val="000000"/>
                <w:kern w:val="0"/>
                <w:sz w:val="24"/>
              </w:rPr>
              <w:t>GB11913-89</w:t>
            </w:r>
          </w:p>
        </w:tc>
      </w:tr>
    </w:tbl>
    <w:p/>
    <w:p>
      <w:pPr>
        <w:pStyle w:val="25"/>
        <w:spacing w:before="156" w:after="156"/>
        <w:ind w:left="0" w:leftChars="0"/>
      </w:pPr>
      <w:bookmarkStart w:id="115" w:name="_Toc84536526"/>
      <w:r>
        <w:rPr>
          <w:rFonts w:hint="eastAsia"/>
        </w:rPr>
        <w:t>2.3.4 水环境质量现状评价</w:t>
      </w:r>
      <w:bookmarkEnd w:id="115"/>
    </w:p>
    <w:p>
      <w:pPr>
        <w:spacing w:line="360" w:lineRule="auto"/>
        <w:ind w:firstLine="560" w:firstLineChars="200"/>
        <w:rPr>
          <w:rFonts w:eastAsiaTheme="minorEastAsia"/>
          <w:sz w:val="28"/>
          <w:szCs w:val="28"/>
        </w:rPr>
      </w:pPr>
      <w:r>
        <w:rPr>
          <w:rFonts w:hint="eastAsia" w:eastAsiaTheme="minorEastAsia"/>
          <w:sz w:val="28"/>
          <w:szCs w:val="28"/>
        </w:rPr>
        <w:t>从表2-7的</w:t>
      </w:r>
      <w:r>
        <w:rPr>
          <w:rFonts w:eastAsiaTheme="minorEastAsia"/>
          <w:sz w:val="28"/>
          <w:szCs w:val="28"/>
        </w:rPr>
        <w:t>数据分析可以看出，</w:t>
      </w:r>
      <w:r>
        <w:rPr>
          <w:rFonts w:hint="eastAsia" w:eastAsiaTheme="minorEastAsia"/>
          <w:sz w:val="28"/>
          <w:szCs w:val="28"/>
        </w:rPr>
        <w:t>大运河宿州段</w:t>
      </w:r>
      <w:r>
        <w:rPr>
          <w:rFonts w:eastAsiaTheme="minorEastAsia"/>
          <w:sz w:val="28"/>
          <w:szCs w:val="28"/>
        </w:rPr>
        <w:t>的主要污染因子</w:t>
      </w:r>
      <w:r>
        <w:rPr>
          <w:rFonts w:hint="eastAsia" w:eastAsiaTheme="minorEastAsia"/>
          <w:sz w:val="28"/>
          <w:szCs w:val="28"/>
        </w:rPr>
        <w:t>为氨氮、COD、</w:t>
      </w:r>
      <w:r>
        <w:rPr>
          <w:rFonts w:eastAsiaTheme="minorEastAsia"/>
          <w:sz w:val="28"/>
          <w:szCs w:val="28"/>
        </w:rPr>
        <w:t>总氮</w:t>
      </w:r>
      <w:r>
        <w:rPr>
          <w:rFonts w:hint="eastAsia" w:eastAsiaTheme="minorEastAsia"/>
          <w:sz w:val="28"/>
          <w:szCs w:val="28"/>
        </w:rPr>
        <w:t>以及总磷。21个监测点中，十里井桥、赤山路桥、丹凤桥、东二环路桥、虹乡路桥、新虹桥、东关桥泗州桥、中医院桥、大运河河口处、大运河进城汇河口、西二环路桥、小李庄桥1、大运河唐河交汇处为劣Ⅴ类水质，053县道桥、072乡道桥、076乡道桥、077乡道桥、216省道桥、大运河唐河交汇处、小李庄桥1、小李庄桥2这8个监测点处正在进行清淤疏浚，但根据现场调研情况来看，疏浚过后的水质及河道垃圾并没有太大改善，河道调研现场如图2-4。</w:t>
      </w:r>
    </w:p>
    <w:p>
      <w:pPr>
        <w:spacing w:line="360" w:lineRule="auto"/>
        <w:jc w:val="center"/>
        <w:rPr>
          <w:rFonts w:eastAsiaTheme="minorEastAsia"/>
          <w:sz w:val="28"/>
          <w:szCs w:val="28"/>
        </w:rPr>
      </w:pPr>
      <w:r>
        <w:rPr>
          <w:rFonts w:eastAsiaTheme="minorEastAsia"/>
          <w:sz w:val="28"/>
          <w:szCs w:val="28"/>
        </w:rPr>
        <w:drawing>
          <wp:inline distT="0" distB="0" distL="0" distR="0">
            <wp:extent cx="2519680" cy="2087880"/>
            <wp:effectExtent l="0" t="0" r="0" b="7620"/>
            <wp:docPr id="8" name="图片 8" descr="C:\Users\Administrator\Desktop\大运河调研\第二次调研\053县道桥\217af5d5ce1b49c9b80ac47dd1446b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Desktop\大运河调研\第二次调研\053县道桥\217af5d5ce1b49c9b80ac47dd1446bb6.jpg"/>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2520000" cy="2088000"/>
                    </a:xfrm>
                    <a:prstGeom prst="rect">
                      <a:avLst/>
                    </a:prstGeom>
                    <a:noFill/>
                    <a:ln>
                      <a:noFill/>
                    </a:ln>
                    <a:effectLst>
                      <a:softEdge rad="25400"/>
                    </a:effectLst>
                  </pic:spPr>
                </pic:pic>
              </a:graphicData>
            </a:graphic>
          </wp:inline>
        </w:drawing>
      </w:r>
      <w:r>
        <w:rPr>
          <w:rFonts w:eastAsiaTheme="minorEastAsia"/>
          <w:sz w:val="28"/>
          <w:szCs w:val="28"/>
        </w:rPr>
        <w:drawing>
          <wp:inline distT="0" distB="0" distL="0" distR="0">
            <wp:extent cx="2519680" cy="2087880"/>
            <wp:effectExtent l="0" t="0" r="0" b="7620"/>
            <wp:docPr id="9" name="图片 9" descr="C:\Users\Administrator\Desktop\大运河调研\第二次调研\072乡道桥\ff9250b85dfa233a5c5eae605dd30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Desktop\大运河调研\第二次调研\072乡道桥\ff9250b85dfa233a5c5eae605dd30760.jpg"/>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520000" cy="2088000"/>
                    </a:xfrm>
                    <a:prstGeom prst="rect">
                      <a:avLst/>
                    </a:prstGeom>
                    <a:noFill/>
                    <a:ln>
                      <a:noFill/>
                    </a:ln>
                    <a:effectLst>
                      <a:softEdge rad="25400"/>
                    </a:effectLst>
                  </pic:spPr>
                </pic:pic>
              </a:graphicData>
            </a:graphic>
          </wp:inline>
        </w:drawing>
      </w:r>
    </w:p>
    <w:p>
      <w:pPr>
        <w:spacing w:line="360" w:lineRule="auto"/>
        <w:jc w:val="center"/>
        <w:rPr>
          <w:rFonts w:eastAsiaTheme="minorEastAsia"/>
          <w:sz w:val="28"/>
          <w:szCs w:val="28"/>
        </w:rPr>
      </w:pPr>
      <w:r>
        <w:rPr>
          <w:rFonts w:eastAsiaTheme="minorEastAsia"/>
          <w:sz w:val="28"/>
          <w:szCs w:val="28"/>
        </w:rPr>
        <w:drawing>
          <wp:inline distT="0" distB="0" distL="0" distR="0">
            <wp:extent cx="2519680" cy="2087880"/>
            <wp:effectExtent l="0" t="0" r="0" b="7620"/>
            <wp:docPr id="10" name="图片 10" descr="C:\Users\Administrator\Desktop\大运河调研\第二次调研\076乡道桥\0a4d6ecf81d61506cb2c87f928b83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Desktop\大运河调研\第二次调研\076乡道桥\0a4d6ecf81d61506cb2c87f928b83063.jpg"/>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520000" cy="2088000"/>
                    </a:xfrm>
                    <a:prstGeom prst="rect">
                      <a:avLst/>
                    </a:prstGeom>
                    <a:noFill/>
                    <a:ln>
                      <a:noFill/>
                    </a:ln>
                    <a:effectLst>
                      <a:softEdge rad="25400"/>
                    </a:effectLst>
                  </pic:spPr>
                </pic:pic>
              </a:graphicData>
            </a:graphic>
          </wp:inline>
        </w:drawing>
      </w:r>
      <w:r>
        <w:rPr>
          <w:rFonts w:eastAsiaTheme="minorEastAsia"/>
          <w:sz w:val="28"/>
          <w:szCs w:val="28"/>
        </w:rPr>
        <w:drawing>
          <wp:inline distT="0" distB="0" distL="0" distR="0">
            <wp:extent cx="2519680" cy="2087880"/>
            <wp:effectExtent l="0" t="0" r="0" b="7620"/>
            <wp:docPr id="11" name="图片 11" descr="C:\Users\Administrator\Desktop\大运河调研\第二次调研\077乡道桥\729a3b78ac5e1f2739ea7ed821fd7b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Desktop\大运河调研\第二次调研\077乡道桥\729a3b78ac5e1f2739ea7ed821fd7beb.jpg"/>
                    <pic:cNvPicPr preferRelativeResize="0">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2520000" cy="2088000"/>
                    </a:xfrm>
                    <a:prstGeom prst="rect">
                      <a:avLst/>
                    </a:prstGeom>
                    <a:noFill/>
                    <a:ln>
                      <a:noFill/>
                    </a:ln>
                    <a:effectLst>
                      <a:softEdge rad="25400"/>
                    </a:effectLst>
                  </pic:spPr>
                </pic:pic>
              </a:graphicData>
            </a:graphic>
          </wp:inline>
        </w:drawing>
      </w:r>
    </w:p>
    <w:p>
      <w:pPr>
        <w:spacing w:line="360" w:lineRule="auto"/>
        <w:jc w:val="center"/>
        <w:rPr>
          <w:rFonts w:eastAsiaTheme="minorEastAsia"/>
          <w:sz w:val="28"/>
          <w:szCs w:val="28"/>
        </w:rPr>
      </w:pPr>
      <w:r>
        <w:rPr>
          <w:rFonts w:eastAsiaTheme="minorEastAsia"/>
          <w:sz w:val="28"/>
          <w:szCs w:val="28"/>
        </w:rPr>
        <w:drawing>
          <wp:inline distT="0" distB="0" distL="0" distR="0">
            <wp:extent cx="2519680" cy="2087880"/>
            <wp:effectExtent l="0" t="0" r="0" b="7620"/>
            <wp:docPr id="12" name="图片 12" descr="C:\Users\Administrator\Desktop\大运河调研\第二次调研\216省道桥\c22b8a96d126850b538334bf85a449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strator\Desktop\大运河调研\第二次调研\216省道桥\c22b8a96d126850b538334bf85a449c1.jpg"/>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2520000" cy="2088000"/>
                    </a:xfrm>
                    <a:prstGeom prst="rect">
                      <a:avLst/>
                    </a:prstGeom>
                    <a:noFill/>
                    <a:ln>
                      <a:noFill/>
                    </a:ln>
                    <a:effectLst>
                      <a:softEdge rad="25400"/>
                    </a:effectLst>
                  </pic:spPr>
                </pic:pic>
              </a:graphicData>
            </a:graphic>
          </wp:inline>
        </w:drawing>
      </w:r>
      <w:r>
        <w:rPr>
          <w:rFonts w:eastAsiaTheme="minorEastAsia"/>
          <w:sz w:val="28"/>
          <w:szCs w:val="28"/>
        </w:rPr>
        <w:drawing>
          <wp:inline distT="0" distB="0" distL="0" distR="0">
            <wp:extent cx="2519680" cy="2087880"/>
            <wp:effectExtent l="0" t="0" r="0" b="7620"/>
            <wp:docPr id="13" name="图片 13" descr="C:\Users\Administrator\Desktop\大运河调研\第二次调研\大运河唐河交汇处\94259b0be5e21d4c2d6941eff41626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dministrator\Desktop\大运河调研\第二次调研\大运河唐河交汇处\94259b0be5e21d4c2d6941eff41626c4.jpg"/>
                    <pic:cNvPicPr preferRelativeResize="0">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2520000" cy="2088000"/>
                    </a:xfrm>
                    <a:prstGeom prst="rect">
                      <a:avLst/>
                    </a:prstGeom>
                    <a:noFill/>
                    <a:ln>
                      <a:noFill/>
                    </a:ln>
                    <a:effectLst>
                      <a:softEdge rad="25400"/>
                    </a:effectLst>
                  </pic:spPr>
                </pic:pic>
              </a:graphicData>
            </a:graphic>
          </wp:inline>
        </w:drawing>
      </w:r>
    </w:p>
    <w:p>
      <w:pPr>
        <w:spacing w:line="360" w:lineRule="auto"/>
        <w:jc w:val="center"/>
        <w:rPr>
          <w:rFonts w:eastAsiaTheme="minorEastAsia"/>
          <w:sz w:val="28"/>
          <w:szCs w:val="28"/>
        </w:rPr>
      </w:pPr>
      <w:r>
        <w:rPr>
          <w:rFonts w:eastAsiaTheme="minorEastAsia"/>
          <w:sz w:val="28"/>
          <w:szCs w:val="28"/>
        </w:rPr>
        <w:drawing>
          <wp:inline distT="0" distB="0" distL="0" distR="0">
            <wp:extent cx="2519680" cy="2087880"/>
            <wp:effectExtent l="0" t="0" r="0" b="7620"/>
            <wp:docPr id="14" name="图片 14" descr="C:\Users\Administrator\Desktop\大运河调研\第二次调研\小李庄桥\cc4317d73327dce03615290883458a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istrator\Desktop\大运河调研\第二次调研\小李庄桥\cc4317d73327dce03615290883458aa0.jpg"/>
                    <pic:cNvPicPr preferRelativeResize="0">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2520000" cy="2088000"/>
                    </a:xfrm>
                    <a:prstGeom prst="rect">
                      <a:avLst/>
                    </a:prstGeom>
                    <a:noFill/>
                    <a:ln>
                      <a:noFill/>
                    </a:ln>
                    <a:effectLst>
                      <a:softEdge rad="25400"/>
                    </a:effectLst>
                  </pic:spPr>
                </pic:pic>
              </a:graphicData>
            </a:graphic>
          </wp:inline>
        </w:drawing>
      </w:r>
      <w:r>
        <w:rPr>
          <w:rFonts w:eastAsiaTheme="minorEastAsia"/>
          <w:sz w:val="28"/>
          <w:szCs w:val="28"/>
        </w:rPr>
        <w:drawing>
          <wp:inline distT="0" distB="0" distL="0" distR="0">
            <wp:extent cx="2519680" cy="2087880"/>
            <wp:effectExtent l="0" t="0" r="0" b="7620"/>
            <wp:docPr id="15" name="图片 15" descr="C:\Users\Administrator\Desktop\大运河调研\第二次调研\韩王庄桥\5a7325689d123ee4059d6b2325220f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dministrator\Desktop\大运河调研\第二次调研\韩王庄桥\5a7325689d123ee4059d6b2325220f17.jpg"/>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2520000" cy="2088000"/>
                    </a:xfrm>
                    <a:prstGeom prst="rect">
                      <a:avLst/>
                    </a:prstGeom>
                    <a:noFill/>
                    <a:ln>
                      <a:noFill/>
                    </a:ln>
                    <a:effectLst>
                      <a:softEdge rad="25400"/>
                    </a:effectLst>
                  </pic:spPr>
                </pic:pic>
              </a:graphicData>
            </a:graphic>
          </wp:inline>
        </w:drawing>
      </w:r>
    </w:p>
    <w:p>
      <w:pPr>
        <w:spacing w:line="360" w:lineRule="auto"/>
        <w:jc w:val="center"/>
        <w:rPr>
          <w:b/>
          <w:bCs/>
          <w:sz w:val="24"/>
        </w:rPr>
      </w:pPr>
      <w:r>
        <w:rPr>
          <w:rFonts w:hint="eastAsia"/>
          <w:b/>
          <w:bCs/>
          <w:sz w:val="24"/>
        </w:rPr>
        <w:t>图2-4  大运河宿州段清淤疏浚现场图</w:t>
      </w:r>
    </w:p>
    <w:p>
      <w:pPr>
        <w:spacing w:line="360" w:lineRule="auto"/>
        <w:jc w:val="center"/>
        <w:rPr>
          <w:rFonts w:eastAsiaTheme="minorEastAsia"/>
          <w:szCs w:val="21"/>
        </w:rPr>
      </w:pPr>
    </w:p>
    <w:p>
      <w:pPr>
        <w:spacing w:line="360" w:lineRule="auto"/>
        <w:jc w:val="center"/>
        <w:rPr>
          <w:b/>
          <w:bCs/>
          <w:sz w:val="24"/>
        </w:rPr>
      </w:pPr>
      <w:r>
        <w:rPr>
          <w:b/>
          <w:bCs/>
          <w:sz w:val="24"/>
        </w:rPr>
        <w:t>表</w:t>
      </w:r>
      <w:r>
        <w:rPr>
          <w:rFonts w:hint="eastAsia"/>
          <w:b/>
          <w:bCs/>
          <w:sz w:val="24"/>
        </w:rPr>
        <w:t>2-7</w:t>
      </w:r>
      <w:r>
        <w:rPr>
          <w:b/>
          <w:bCs/>
          <w:sz w:val="24"/>
        </w:rPr>
        <w:t xml:space="preserve"> </w:t>
      </w:r>
      <w:r>
        <w:rPr>
          <w:rFonts w:hint="eastAsia"/>
          <w:b/>
          <w:bCs/>
          <w:sz w:val="24"/>
        </w:rPr>
        <w:t xml:space="preserve"> 大运河宿州段第一次取样</w:t>
      </w:r>
      <w:r>
        <w:rPr>
          <w:b/>
          <w:bCs/>
          <w:sz w:val="24"/>
        </w:rPr>
        <w:t>水质监测评价</w:t>
      </w:r>
    </w:p>
    <w:tbl>
      <w:tblPr>
        <w:tblStyle w:val="28"/>
        <w:tblW w:w="8528" w:type="dxa"/>
        <w:tblInd w:w="0" w:type="dxa"/>
        <w:tblLayout w:type="fixed"/>
        <w:tblCellMar>
          <w:top w:w="0" w:type="dxa"/>
          <w:left w:w="108" w:type="dxa"/>
          <w:bottom w:w="0" w:type="dxa"/>
          <w:right w:w="108" w:type="dxa"/>
        </w:tblCellMar>
      </w:tblPr>
      <w:tblGrid>
        <w:gridCol w:w="959"/>
        <w:gridCol w:w="1134"/>
        <w:gridCol w:w="1134"/>
        <w:gridCol w:w="1134"/>
        <w:gridCol w:w="1133"/>
        <w:gridCol w:w="710"/>
        <w:gridCol w:w="708"/>
        <w:gridCol w:w="831"/>
        <w:gridCol w:w="785"/>
      </w:tblGrid>
      <w:tr>
        <w:tblPrEx>
          <w:tblLayout w:type="fixed"/>
          <w:tblCellMar>
            <w:top w:w="0" w:type="dxa"/>
            <w:left w:w="108" w:type="dxa"/>
            <w:bottom w:w="0" w:type="dxa"/>
            <w:right w:w="108" w:type="dxa"/>
          </w:tblCellMar>
        </w:tblPrEx>
        <w:trPr>
          <w:trHeight w:val="312" w:hRule="atLeast"/>
          <w:tblHeader/>
        </w:trPr>
        <w:tc>
          <w:tcPr>
            <w:tcW w:w="959"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tcPr>
          <w:p>
            <w:pPr>
              <w:widowControl/>
              <w:jc w:val="center"/>
              <w:rPr>
                <w:b/>
                <w:color w:val="000000"/>
                <w:kern w:val="0"/>
                <w:sz w:val="24"/>
              </w:rPr>
            </w:pPr>
            <w:r>
              <w:rPr>
                <w:b/>
                <w:color w:val="000000"/>
                <w:kern w:val="0"/>
                <w:sz w:val="24"/>
              </w:rPr>
              <w:t>监测</w:t>
            </w:r>
          </w:p>
          <w:p>
            <w:pPr>
              <w:widowControl/>
              <w:jc w:val="center"/>
              <w:rPr>
                <w:b/>
                <w:color w:val="000000"/>
                <w:kern w:val="0"/>
                <w:sz w:val="24"/>
              </w:rPr>
            </w:pPr>
            <w:r>
              <w:rPr>
                <w:b/>
                <w:color w:val="000000"/>
                <w:kern w:val="0"/>
                <w:sz w:val="24"/>
              </w:rPr>
              <w:t>地点</w:t>
            </w:r>
          </w:p>
        </w:tc>
        <w:tc>
          <w:tcPr>
            <w:tcW w:w="1134" w:type="dxa"/>
            <w:vMerge w:val="restart"/>
            <w:tcBorders>
              <w:top w:val="single" w:color="auto" w:sz="4" w:space="0"/>
              <w:left w:val="single" w:color="auto" w:sz="4" w:space="0"/>
              <w:bottom w:val="single" w:color="000000" w:sz="4" w:space="0"/>
              <w:right w:val="single" w:color="auto" w:sz="4" w:space="0"/>
            </w:tcBorders>
            <w:shd w:val="clear" w:color="000000" w:fill="FFFFFF"/>
            <w:vAlign w:val="center"/>
          </w:tcPr>
          <w:p>
            <w:pPr>
              <w:widowControl/>
              <w:jc w:val="center"/>
              <w:rPr>
                <w:b/>
                <w:color w:val="000000"/>
                <w:kern w:val="0"/>
                <w:sz w:val="24"/>
              </w:rPr>
            </w:pPr>
            <w:r>
              <w:rPr>
                <w:b/>
                <w:color w:val="000000"/>
                <w:kern w:val="0"/>
                <w:sz w:val="24"/>
              </w:rPr>
              <w:t>氨氮</w:t>
            </w:r>
            <w:r>
              <w:rPr>
                <w:b/>
                <w:color w:val="000000"/>
                <w:kern w:val="0"/>
                <w:sz w:val="24"/>
              </w:rPr>
              <w:br w:type="textWrapping"/>
            </w:r>
            <w:r>
              <w:rPr>
                <w:b/>
                <w:color w:val="000000"/>
                <w:kern w:val="0"/>
                <w:sz w:val="24"/>
              </w:rPr>
              <w:t>（mg/L）</w:t>
            </w:r>
          </w:p>
        </w:tc>
        <w:tc>
          <w:tcPr>
            <w:tcW w:w="1134" w:type="dxa"/>
            <w:vMerge w:val="restart"/>
            <w:tcBorders>
              <w:top w:val="single" w:color="auto" w:sz="4" w:space="0"/>
              <w:left w:val="single" w:color="auto" w:sz="4" w:space="0"/>
              <w:bottom w:val="single" w:color="000000" w:sz="4" w:space="0"/>
              <w:right w:val="single" w:color="auto" w:sz="4" w:space="0"/>
            </w:tcBorders>
            <w:shd w:val="clear" w:color="000000" w:fill="FFFFFF"/>
            <w:vAlign w:val="center"/>
          </w:tcPr>
          <w:p>
            <w:pPr>
              <w:widowControl/>
              <w:jc w:val="center"/>
              <w:rPr>
                <w:b/>
                <w:color w:val="000000"/>
                <w:kern w:val="0"/>
                <w:sz w:val="24"/>
              </w:rPr>
            </w:pPr>
            <w:r>
              <w:rPr>
                <w:b/>
                <w:color w:val="000000"/>
                <w:kern w:val="0"/>
                <w:sz w:val="24"/>
              </w:rPr>
              <w:t>COD</w:t>
            </w:r>
            <w:r>
              <w:rPr>
                <w:b/>
                <w:color w:val="000000"/>
                <w:kern w:val="0"/>
                <w:sz w:val="24"/>
              </w:rPr>
              <w:br w:type="textWrapping"/>
            </w:r>
            <w:r>
              <w:rPr>
                <w:b/>
                <w:color w:val="000000"/>
                <w:kern w:val="0"/>
                <w:sz w:val="24"/>
              </w:rPr>
              <w:t>（mg/L）</w:t>
            </w:r>
          </w:p>
        </w:tc>
        <w:tc>
          <w:tcPr>
            <w:tcW w:w="1134" w:type="dxa"/>
            <w:vMerge w:val="restart"/>
            <w:tcBorders>
              <w:top w:val="single" w:color="auto" w:sz="4" w:space="0"/>
              <w:left w:val="single" w:color="auto" w:sz="4" w:space="0"/>
              <w:bottom w:val="single" w:color="000000" w:sz="4" w:space="0"/>
              <w:right w:val="single" w:color="auto" w:sz="4" w:space="0"/>
            </w:tcBorders>
            <w:shd w:val="clear" w:color="000000" w:fill="FFFFFF"/>
            <w:vAlign w:val="center"/>
          </w:tcPr>
          <w:p>
            <w:pPr>
              <w:widowControl/>
              <w:jc w:val="center"/>
              <w:rPr>
                <w:b/>
                <w:color w:val="000000"/>
                <w:kern w:val="0"/>
                <w:sz w:val="24"/>
              </w:rPr>
            </w:pPr>
            <w:r>
              <w:rPr>
                <w:b/>
                <w:color w:val="000000"/>
                <w:kern w:val="0"/>
                <w:sz w:val="24"/>
              </w:rPr>
              <w:t>总氮</w:t>
            </w:r>
            <w:r>
              <w:rPr>
                <w:b/>
                <w:color w:val="000000"/>
                <w:kern w:val="0"/>
                <w:sz w:val="24"/>
              </w:rPr>
              <w:br w:type="textWrapping"/>
            </w:r>
            <w:r>
              <w:rPr>
                <w:b/>
                <w:color w:val="000000"/>
                <w:kern w:val="0"/>
                <w:sz w:val="24"/>
              </w:rPr>
              <w:t>（mg/L）</w:t>
            </w:r>
          </w:p>
        </w:tc>
        <w:tc>
          <w:tcPr>
            <w:tcW w:w="1133" w:type="dxa"/>
            <w:vMerge w:val="restart"/>
            <w:tcBorders>
              <w:top w:val="single" w:color="auto" w:sz="4" w:space="0"/>
              <w:left w:val="single" w:color="auto" w:sz="4" w:space="0"/>
              <w:bottom w:val="single" w:color="000000" w:sz="4" w:space="0"/>
              <w:right w:val="single" w:color="auto" w:sz="4" w:space="0"/>
            </w:tcBorders>
            <w:shd w:val="clear" w:color="000000" w:fill="FFFFFF"/>
            <w:vAlign w:val="center"/>
          </w:tcPr>
          <w:p>
            <w:pPr>
              <w:widowControl/>
              <w:jc w:val="center"/>
              <w:rPr>
                <w:b/>
                <w:color w:val="000000"/>
                <w:kern w:val="0"/>
                <w:sz w:val="24"/>
              </w:rPr>
            </w:pPr>
            <w:r>
              <w:rPr>
                <w:b/>
                <w:color w:val="000000"/>
                <w:kern w:val="0"/>
                <w:sz w:val="24"/>
              </w:rPr>
              <w:t>总磷</w:t>
            </w:r>
            <w:r>
              <w:rPr>
                <w:b/>
                <w:color w:val="000000"/>
                <w:kern w:val="0"/>
                <w:sz w:val="24"/>
              </w:rPr>
              <w:br w:type="textWrapping"/>
            </w:r>
            <w:r>
              <w:rPr>
                <w:b/>
                <w:color w:val="000000"/>
                <w:kern w:val="0"/>
                <w:sz w:val="24"/>
              </w:rPr>
              <w:t>（mg/L）</w:t>
            </w:r>
          </w:p>
        </w:tc>
        <w:tc>
          <w:tcPr>
            <w:tcW w:w="710" w:type="dxa"/>
            <w:vMerge w:val="restart"/>
            <w:tcBorders>
              <w:top w:val="single" w:color="auto" w:sz="4" w:space="0"/>
              <w:left w:val="single" w:color="auto" w:sz="4" w:space="0"/>
              <w:bottom w:val="single" w:color="auto" w:sz="4" w:space="0"/>
              <w:right w:val="single" w:color="auto" w:sz="4" w:space="0"/>
            </w:tcBorders>
            <w:shd w:val="clear" w:color="000000" w:fill="FFFFFF"/>
            <w:noWrap/>
            <w:vAlign w:val="center"/>
          </w:tcPr>
          <w:p>
            <w:pPr>
              <w:widowControl/>
              <w:jc w:val="center"/>
              <w:rPr>
                <w:b/>
                <w:color w:val="000000"/>
                <w:kern w:val="0"/>
                <w:sz w:val="24"/>
              </w:rPr>
            </w:pPr>
            <w:r>
              <w:rPr>
                <w:b/>
                <w:color w:val="000000"/>
                <w:kern w:val="0"/>
                <w:sz w:val="24"/>
              </w:rPr>
              <w:t>pH</w:t>
            </w:r>
          </w:p>
        </w:tc>
        <w:tc>
          <w:tcPr>
            <w:tcW w:w="708" w:type="dxa"/>
            <w:vMerge w:val="restart"/>
            <w:tcBorders>
              <w:top w:val="single" w:color="auto" w:sz="4" w:space="0"/>
              <w:left w:val="single" w:color="auto" w:sz="4" w:space="0"/>
              <w:bottom w:val="single" w:color="000000" w:sz="4" w:space="0"/>
              <w:right w:val="single" w:color="auto" w:sz="4" w:space="0"/>
            </w:tcBorders>
            <w:shd w:val="clear" w:color="000000" w:fill="FFFFFF"/>
            <w:noWrap/>
            <w:vAlign w:val="center"/>
          </w:tcPr>
          <w:p>
            <w:pPr>
              <w:widowControl/>
              <w:jc w:val="center"/>
              <w:rPr>
                <w:b/>
                <w:color w:val="000000"/>
                <w:kern w:val="0"/>
                <w:sz w:val="24"/>
              </w:rPr>
            </w:pPr>
            <w:r>
              <w:rPr>
                <w:b/>
                <w:color w:val="000000"/>
                <w:kern w:val="0"/>
                <w:sz w:val="24"/>
              </w:rPr>
              <w:t>溶解氧</w:t>
            </w:r>
          </w:p>
        </w:tc>
        <w:tc>
          <w:tcPr>
            <w:tcW w:w="831" w:type="dxa"/>
            <w:vMerge w:val="restart"/>
            <w:tcBorders>
              <w:top w:val="single" w:color="auto" w:sz="4" w:space="0"/>
              <w:left w:val="single" w:color="auto" w:sz="4" w:space="0"/>
              <w:bottom w:val="single" w:color="000000" w:sz="4" w:space="0"/>
              <w:right w:val="single" w:color="auto" w:sz="4" w:space="0"/>
            </w:tcBorders>
            <w:shd w:val="clear" w:color="000000" w:fill="FFFFFF"/>
            <w:vAlign w:val="center"/>
          </w:tcPr>
          <w:p>
            <w:pPr>
              <w:widowControl/>
              <w:jc w:val="center"/>
              <w:rPr>
                <w:b/>
                <w:color w:val="000000"/>
                <w:kern w:val="0"/>
                <w:sz w:val="24"/>
              </w:rPr>
            </w:pPr>
            <w:r>
              <w:rPr>
                <w:b/>
                <w:color w:val="000000"/>
                <w:kern w:val="0"/>
                <w:sz w:val="24"/>
              </w:rPr>
              <w:t>T</w:t>
            </w:r>
          </w:p>
          <w:p>
            <w:pPr>
              <w:widowControl/>
              <w:jc w:val="center"/>
              <w:rPr>
                <w:b/>
                <w:color w:val="000000"/>
                <w:kern w:val="0"/>
                <w:sz w:val="24"/>
              </w:rPr>
            </w:pPr>
            <w:r>
              <w:rPr>
                <w:b/>
                <w:color w:val="000000"/>
                <w:kern w:val="0"/>
                <w:sz w:val="24"/>
              </w:rPr>
              <w:t>（</w:t>
            </w:r>
            <w:r>
              <w:rPr>
                <w:rFonts w:hint="eastAsia" w:ascii="宋体" w:hAnsi="宋体" w:cs="宋体"/>
                <w:b/>
                <w:color w:val="000000"/>
                <w:kern w:val="0"/>
                <w:sz w:val="24"/>
              </w:rPr>
              <w:t>℃</w:t>
            </w:r>
            <w:r>
              <w:rPr>
                <w:b/>
                <w:color w:val="000000"/>
                <w:kern w:val="0"/>
                <w:sz w:val="24"/>
              </w:rPr>
              <w:t>）</w:t>
            </w:r>
          </w:p>
        </w:tc>
        <w:tc>
          <w:tcPr>
            <w:tcW w:w="785" w:type="dxa"/>
            <w:vMerge w:val="restart"/>
            <w:tcBorders>
              <w:top w:val="single" w:color="auto" w:sz="4" w:space="0"/>
              <w:left w:val="single" w:color="auto" w:sz="4" w:space="0"/>
              <w:bottom w:val="single" w:color="auto" w:sz="4" w:space="0"/>
              <w:right w:val="single" w:color="auto" w:sz="4" w:space="0"/>
            </w:tcBorders>
            <w:shd w:val="clear" w:color="000000" w:fill="FFFFFF"/>
            <w:vAlign w:val="center"/>
          </w:tcPr>
          <w:p>
            <w:pPr>
              <w:widowControl/>
              <w:jc w:val="center"/>
              <w:rPr>
                <w:b/>
                <w:color w:val="000000"/>
                <w:kern w:val="0"/>
                <w:sz w:val="24"/>
              </w:rPr>
            </w:pPr>
            <w:r>
              <w:rPr>
                <w:b/>
                <w:color w:val="000000"/>
                <w:kern w:val="0"/>
                <w:sz w:val="24"/>
              </w:rPr>
              <w:t>水质类别</w:t>
            </w:r>
          </w:p>
        </w:tc>
      </w:tr>
      <w:tr>
        <w:tblPrEx>
          <w:tblLayout w:type="fixed"/>
          <w:tblCellMar>
            <w:top w:w="0" w:type="dxa"/>
            <w:left w:w="108" w:type="dxa"/>
            <w:bottom w:w="0" w:type="dxa"/>
            <w:right w:w="108" w:type="dxa"/>
          </w:tblCellMar>
        </w:tblPrEx>
        <w:trPr>
          <w:trHeight w:val="465" w:hRule="atLeast"/>
          <w:tblHeader/>
        </w:trPr>
        <w:tc>
          <w:tcPr>
            <w:tcW w:w="959"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color w:val="000000"/>
                <w:kern w:val="0"/>
                <w:sz w:val="24"/>
              </w:rPr>
            </w:pPr>
          </w:p>
        </w:tc>
        <w:tc>
          <w:tcPr>
            <w:tcW w:w="1134" w:type="dxa"/>
            <w:vMerge w:val="continue"/>
            <w:tcBorders>
              <w:top w:val="single" w:color="auto" w:sz="4" w:space="0"/>
              <w:left w:val="single" w:color="auto" w:sz="4" w:space="0"/>
              <w:bottom w:val="single" w:color="000000" w:sz="4" w:space="0"/>
              <w:right w:val="single" w:color="auto" w:sz="4" w:space="0"/>
            </w:tcBorders>
            <w:vAlign w:val="center"/>
          </w:tcPr>
          <w:p>
            <w:pPr>
              <w:widowControl/>
              <w:jc w:val="left"/>
              <w:rPr>
                <w:color w:val="000000"/>
                <w:kern w:val="0"/>
                <w:sz w:val="24"/>
              </w:rPr>
            </w:pPr>
          </w:p>
        </w:tc>
        <w:tc>
          <w:tcPr>
            <w:tcW w:w="1134" w:type="dxa"/>
            <w:vMerge w:val="continue"/>
            <w:tcBorders>
              <w:top w:val="single" w:color="auto" w:sz="4" w:space="0"/>
              <w:left w:val="single" w:color="auto" w:sz="4" w:space="0"/>
              <w:bottom w:val="single" w:color="000000" w:sz="4" w:space="0"/>
              <w:right w:val="single" w:color="auto" w:sz="4" w:space="0"/>
            </w:tcBorders>
            <w:vAlign w:val="center"/>
          </w:tcPr>
          <w:p>
            <w:pPr>
              <w:widowControl/>
              <w:jc w:val="left"/>
              <w:rPr>
                <w:color w:val="000000"/>
                <w:kern w:val="0"/>
                <w:sz w:val="24"/>
              </w:rPr>
            </w:pPr>
          </w:p>
        </w:tc>
        <w:tc>
          <w:tcPr>
            <w:tcW w:w="1134" w:type="dxa"/>
            <w:vMerge w:val="continue"/>
            <w:tcBorders>
              <w:top w:val="single" w:color="auto" w:sz="4" w:space="0"/>
              <w:left w:val="single" w:color="auto" w:sz="4" w:space="0"/>
              <w:bottom w:val="single" w:color="000000" w:sz="4" w:space="0"/>
              <w:right w:val="single" w:color="auto" w:sz="4" w:space="0"/>
            </w:tcBorders>
            <w:vAlign w:val="center"/>
          </w:tcPr>
          <w:p>
            <w:pPr>
              <w:widowControl/>
              <w:jc w:val="left"/>
              <w:rPr>
                <w:color w:val="000000"/>
                <w:kern w:val="0"/>
                <w:sz w:val="24"/>
              </w:rPr>
            </w:pPr>
          </w:p>
        </w:tc>
        <w:tc>
          <w:tcPr>
            <w:tcW w:w="1133" w:type="dxa"/>
            <w:vMerge w:val="continue"/>
            <w:tcBorders>
              <w:top w:val="single" w:color="auto" w:sz="4" w:space="0"/>
              <w:left w:val="single" w:color="auto" w:sz="4" w:space="0"/>
              <w:bottom w:val="single" w:color="000000" w:sz="4" w:space="0"/>
              <w:right w:val="single" w:color="auto" w:sz="4" w:space="0"/>
            </w:tcBorders>
            <w:vAlign w:val="center"/>
          </w:tcPr>
          <w:p>
            <w:pPr>
              <w:widowControl/>
              <w:jc w:val="left"/>
              <w:rPr>
                <w:color w:val="000000"/>
                <w:kern w:val="0"/>
                <w:sz w:val="24"/>
              </w:rPr>
            </w:pPr>
          </w:p>
        </w:tc>
        <w:tc>
          <w:tcPr>
            <w:tcW w:w="710"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color w:val="000000"/>
                <w:kern w:val="0"/>
                <w:sz w:val="24"/>
              </w:rPr>
            </w:pPr>
          </w:p>
        </w:tc>
        <w:tc>
          <w:tcPr>
            <w:tcW w:w="708" w:type="dxa"/>
            <w:vMerge w:val="continue"/>
            <w:tcBorders>
              <w:top w:val="single" w:color="auto" w:sz="4" w:space="0"/>
              <w:left w:val="single" w:color="auto" w:sz="4" w:space="0"/>
              <w:bottom w:val="single" w:color="000000" w:sz="4" w:space="0"/>
              <w:right w:val="single" w:color="auto" w:sz="4" w:space="0"/>
            </w:tcBorders>
            <w:vAlign w:val="center"/>
          </w:tcPr>
          <w:p>
            <w:pPr>
              <w:widowControl/>
              <w:jc w:val="left"/>
              <w:rPr>
                <w:color w:val="000000"/>
                <w:kern w:val="0"/>
                <w:sz w:val="24"/>
              </w:rPr>
            </w:pPr>
          </w:p>
        </w:tc>
        <w:tc>
          <w:tcPr>
            <w:tcW w:w="831" w:type="dxa"/>
            <w:vMerge w:val="continue"/>
            <w:tcBorders>
              <w:top w:val="single" w:color="auto" w:sz="4" w:space="0"/>
              <w:left w:val="single" w:color="auto" w:sz="4" w:space="0"/>
              <w:bottom w:val="single" w:color="000000" w:sz="4" w:space="0"/>
              <w:right w:val="single" w:color="auto" w:sz="4" w:space="0"/>
            </w:tcBorders>
            <w:vAlign w:val="center"/>
          </w:tcPr>
          <w:p>
            <w:pPr>
              <w:widowControl/>
              <w:jc w:val="left"/>
              <w:rPr>
                <w:color w:val="000000"/>
                <w:kern w:val="0"/>
                <w:sz w:val="24"/>
              </w:rPr>
            </w:pPr>
          </w:p>
        </w:tc>
        <w:tc>
          <w:tcPr>
            <w:tcW w:w="785"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color w:val="000000"/>
                <w:kern w:val="0"/>
                <w:sz w:val="24"/>
              </w:rPr>
            </w:pPr>
          </w:p>
        </w:tc>
      </w:tr>
      <w:tr>
        <w:tblPrEx>
          <w:tblLayout w:type="fixed"/>
          <w:tblCellMar>
            <w:top w:w="0" w:type="dxa"/>
            <w:left w:w="108" w:type="dxa"/>
            <w:bottom w:w="0" w:type="dxa"/>
            <w:right w:w="108" w:type="dxa"/>
          </w:tblCellMar>
        </w:tblPrEx>
        <w:trPr>
          <w:trHeight w:val="20" w:hRule="atLeast"/>
        </w:trPr>
        <w:tc>
          <w:tcPr>
            <w:tcW w:w="959"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濉河</w:t>
            </w:r>
          </w:p>
          <w:p>
            <w:pPr>
              <w:widowControl/>
              <w:jc w:val="center"/>
              <w:rPr>
                <w:color w:val="000000"/>
                <w:kern w:val="0"/>
                <w:sz w:val="24"/>
              </w:rPr>
            </w:pPr>
            <w:r>
              <w:rPr>
                <w:color w:val="000000"/>
                <w:kern w:val="0"/>
                <w:sz w:val="24"/>
              </w:rPr>
              <w:t>闸口</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0.697</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39.706</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2.392</w:t>
            </w:r>
          </w:p>
        </w:tc>
        <w:tc>
          <w:tcPr>
            <w:tcW w:w="1133"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0.19</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7.7</w:t>
            </w:r>
          </w:p>
        </w:tc>
        <w:tc>
          <w:tcPr>
            <w:tcW w:w="708"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5.1</w:t>
            </w:r>
          </w:p>
        </w:tc>
        <w:tc>
          <w:tcPr>
            <w:tcW w:w="831" w:type="dxa"/>
            <w:tcBorders>
              <w:top w:val="nil"/>
              <w:left w:val="nil"/>
              <w:bottom w:val="single" w:color="auto" w:sz="4" w:space="0"/>
              <w:right w:val="single" w:color="auto" w:sz="4" w:space="0"/>
            </w:tcBorders>
            <w:shd w:val="clear" w:color="000000" w:fill="FFFFFF"/>
            <w:vAlign w:val="center"/>
          </w:tcPr>
          <w:p>
            <w:pPr>
              <w:widowControl/>
              <w:jc w:val="center"/>
              <w:rPr>
                <w:color w:val="000000"/>
                <w:kern w:val="0"/>
                <w:sz w:val="24"/>
              </w:rPr>
            </w:pPr>
            <w:r>
              <w:rPr>
                <w:color w:val="000000"/>
                <w:kern w:val="0"/>
                <w:sz w:val="24"/>
              </w:rPr>
              <w:t>10</w:t>
            </w:r>
          </w:p>
        </w:tc>
        <w:tc>
          <w:tcPr>
            <w:tcW w:w="785"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20" w:hRule="atLeast"/>
        </w:trPr>
        <w:tc>
          <w:tcPr>
            <w:tcW w:w="959"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十里</w:t>
            </w:r>
          </w:p>
          <w:p>
            <w:pPr>
              <w:widowControl/>
              <w:jc w:val="center"/>
              <w:rPr>
                <w:color w:val="000000"/>
                <w:kern w:val="0"/>
                <w:sz w:val="24"/>
              </w:rPr>
            </w:pPr>
            <w:r>
              <w:rPr>
                <w:color w:val="000000"/>
                <w:kern w:val="0"/>
                <w:sz w:val="24"/>
              </w:rPr>
              <w:t>井桥</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0.561</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48.824</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2.516</w:t>
            </w:r>
          </w:p>
        </w:tc>
        <w:tc>
          <w:tcPr>
            <w:tcW w:w="1133"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0.18</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7.81</w:t>
            </w:r>
          </w:p>
        </w:tc>
        <w:tc>
          <w:tcPr>
            <w:tcW w:w="708"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8.45</w:t>
            </w:r>
          </w:p>
        </w:tc>
        <w:tc>
          <w:tcPr>
            <w:tcW w:w="831" w:type="dxa"/>
            <w:tcBorders>
              <w:top w:val="nil"/>
              <w:left w:val="nil"/>
              <w:bottom w:val="single" w:color="auto" w:sz="4" w:space="0"/>
              <w:right w:val="single" w:color="auto" w:sz="4" w:space="0"/>
            </w:tcBorders>
            <w:shd w:val="clear" w:color="000000" w:fill="FFFFFF"/>
            <w:vAlign w:val="center"/>
          </w:tcPr>
          <w:p>
            <w:pPr>
              <w:widowControl/>
              <w:jc w:val="center"/>
              <w:rPr>
                <w:color w:val="000000"/>
                <w:kern w:val="0"/>
                <w:sz w:val="24"/>
              </w:rPr>
            </w:pPr>
            <w:r>
              <w:rPr>
                <w:color w:val="000000"/>
                <w:kern w:val="0"/>
                <w:sz w:val="24"/>
              </w:rPr>
              <w:t>8.8</w:t>
            </w:r>
          </w:p>
        </w:tc>
        <w:tc>
          <w:tcPr>
            <w:tcW w:w="785"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20" w:hRule="atLeast"/>
        </w:trPr>
        <w:tc>
          <w:tcPr>
            <w:tcW w:w="959"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赤山路桥</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2.612</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17.059</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9.522</w:t>
            </w:r>
          </w:p>
        </w:tc>
        <w:tc>
          <w:tcPr>
            <w:tcW w:w="1133"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0.19</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7.79</w:t>
            </w:r>
          </w:p>
        </w:tc>
        <w:tc>
          <w:tcPr>
            <w:tcW w:w="708"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6.22</w:t>
            </w:r>
          </w:p>
        </w:tc>
        <w:tc>
          <w:tcPr>
            <w:tcW w:w="831" w:type="dxa"/>
            <w:tcBorders>
              <w:top w:val="nil"/>
              <w:left w:val="nil"/>
              <w:bottom w:val="single" w:color="auto" w:sz="4" w:space="0"/>
              <w:right w:val="single" w:color="auto" w:sz="4" w:space="0"/>
            </w:tcBorders>
            <w:shd w:val="clear" w:color="000000" w:fill="FFFFFF"/>
            <w:vAlign w:val="center"/>
          </w:tcPr>
          <w:p>
            <w:pPr>
              <w:widowControl/>
              <w:jc w:val="center"/>
              <w:rPr>
                <w:color w:val="000000"/>
                <w:kern w:val="0"/>
                <w:sz w:val="24"/>
              </w:rPr>
            </w:pPr>
            <w:r>
              <w:rPr>
                <w:color w:val="000000"/>
                <w:kern w:val="0"/>
                <w:sz w:val="24"/>
              </w:rPr>
              <w:t>10.6</w:t>
            </w:r>
          </w:p>
        </w:tc>
        <w:tc>
          <w:tcPr>
            <w:tcW w:w="785"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20" w:hRule="atLeast"/>
        </w:trPr>
        <w:tc>
          <w:tcPr>
            <w:tcW w:w="959"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丹凤桥</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9.04</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67.941</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10.976</w:t>
            </w:r>
          </w:p>
        </w:tc>
        <w:tc>
          <w:tcPr>
            <w:tcW w:w="1133"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0.29</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7.75</w:t>
            </w:r>
          </w:p>
        </w:tc>
        <w:tc>
          <w:tcPr>
            <w:tcW w:w="708"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0.64</w:t>
            </w:r>
          </w:p>
        </w:tc>
        <w:tc>
          <w:tcPr>
            <w:tcW w:w="831" w:type="dxa"/>
            <w:tcBorders>
              <w:top w:val="nil"/>
              <w:left w:val="nil"/>
              <w:bottom w:val="single" w:color="auto" w:sz="4" w:space="0"/>
              <w:right w:val="single" w:color="auto" w:sz="4" w:space="0"/>
            </w:tcBorders>
            <w:shd w:val="clear" w:color="000000" w:fill="FFFFFF"/>
            <w:vAlign w:val="center"/>
          </w:tcPr>
          <w:p>
            <w:pPr>
              <w:widowControl/>
              <w:jc w:val="center"/>
              <w:rPr>
                <w:color w:val="000000"/>
                <w:kern w:val="0"/>
                <w:sz w:val="24"/>
              </w:rPr>
            </w:pPr>
            <w:r>
              <w:rPr>
                <w:color w:val="000000"/>
                <w:kern w:val="0"/>
                <w:sz w:val="24"/>
              </w:rPr>
              <w:t>11.2</w:t>
            </w:r>
          </w:p>
        </w:tc>
        <w:tc>
          <w:tcPr>
            <w:tcW w:w="785"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20" w:hRule="atLeast"/>
        </w:trPr>
        <w:tc>
          <w:tcPr>
            <w:tcW w:w="959"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东二环路桥</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11.091</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0.167</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12.339</w:t>
            </w:r>
          </w:p>
        </w:tc>
        <w:tc>
          <w:tcPr>
            <w:tcW w:w="1133"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0.65</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8.19</w:t>
            </w:r>
          </w:p>
        </w:tc>
        <w:tc>
          <w:tcPr>
            <w:tcW w:w="708"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1.15</w:t>
            </w:r>
          </w:p>
        </w:tc>
        <w:tc>
          <w:tcPr>
            <w:tcW w:w="831" w:type="dxa"/>
            <w:tcBorders>
              <w:top w:val="nil"/>
              <w:left w:val="nil"/>
              <w:bottom w:val="single" w:color="auto" w:sz="4" w:space="0"/>
              <w:right w:val="single" w:color="auto" w:sz="4" w:space="0"/>
            </w:tcBorders>
            <w:shd w:val="clear" w:color="000000" w:fill="FFFFFF"/>
            <w:vAlign w:val="center"/>
          </w:tcPr>
          <w:p>
            <w:pPr>
              <w:widowControl/>
              <w:jc w:val="center"/>
              <w:rPr>
                <w:color w:val="000000"/>
                <w:kern w:val="0"/>
                <w:sz w:val="24"/>
              </w:rPr>
            </w:pPr>
            <w:r>
              <w:rPr>
                <w:color w:val="000000"/>
                <w:kern w:val="0"/>
                <w:sz w:val="24"/>
              </w:rPr>
              <w:t>11.2</w:t>
            </w:r>
          </w:p>
        </w:tc>
        <w:tc>
          <w:tcPr>
            <w:tcW w:w="785"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20" w:hRule="atLeast"/>
        </w:trPr>
        <w:tc>
          <w:tcPr>
            <w:tcW w:w="959"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虹乡</w:t>
            </w:r>
          </w:p>
          <w:p>
            <w:pPr>
              <w:widowControl/>
              <w:jc w:val="center"/>
              <w:rPr>
                <w:color w:val="000000"/>
                <w:kern w:val="0"/>
                <w:sz w:val="24"/>
              </w:rPr>
            </w:pPr>
            <w:r>
              <w:rPr>
                <w:color w:val="000000"/>
                <w:kern w:val="0"/>
                <w:sz w:val="24"/>
              </w:rPr>
              <w:t>路桥</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12.596</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5.588</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13.174</w:t>
            </w:r>
          </w:p>
        </w:tc>
        <w:tc>
          <w:tcPr>
            <w:tcW w:w="1133"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0.7</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7.92</w:t>
            </w:r>
          </w:p>
        </w:tc>
        <w:tc>
          <w:tcPr>
            <w:tcW w:w="708"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0.42</w:t>
            </w:r>
          </w:p>
        </w:tc>
        <w:tc>
          <w:tcPr>
            <w:tcW w:w="831" w:type="dxa"/>
            <w:tcBorders>
              <w:top w:val="nil"/>
              <w:left w:val="nil"/>
              <w:bottom w:val="single" w:color="auto" w:sz="4" w:space="0"/>
              <w:right w:val="single" w:color="auto" w:sz="4" w:space="0"/>
            </w:tcBorders>
            <w:shd w:val="clear" w:color="000000" w:fill="FFFFFF"/>
            <w:vAlign w:val="center"/>
          </w:tcPr>
          <w:p>
            <w:pPr>
              <w:widowControl/>
              <w:jc w:val="center"/>
              <w:rPr>
                <w:color w:val="000000"/>
                <w:kern w:val="0"/>
                <w:sz w:val="24"/>
              </w:rPr>
            </w:pPr>
            <w:r>
              <w:rPr>
                <w:color w:val="000000"/>
                <w:kern w:val="0"/>
                <w:sz w:val="24"/>
              </w:rPr>
              <w:t>11.2</w:t>
            </w:r>
          </w:p>
        </w:tc>
        <w:tc>
          <w:tcPr>
            <w:tcW w:w="785"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20" w:hRule="atLeast"/>
        </w:trPr>
        <w:tc>
          <w:tcPr>
            <w:tcW w:w="959"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新虹桥</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7.946</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13.824</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10.595</w:t>
            </w:r>
          </w:p>
        </w:tc>
        <w:tc>
          <w:tcPr>
            <w:tcW w:w="1133"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0.6</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8.06</w:t>
            </w:r>
          </w:p>
        </w:tc>
        <w:tc>
          <w:tcPr>
            <w:tcW w:w="708"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3.38</w:t>
            </w:r>
          </w:p>
        </w:tc>
        <w:tc>
          <w:tcPr>
            <w:tcW w:w="831" w:type="dxa"/>
            <w:tcBorders>
              <w:top w:val="nil"/>
              <w:left w:val="nil"/>
              <w:bottom w:val="single" w:color="auto" w:sz="4" w:space="0"/>
              <w:right w:val="single" w:color="auto" w:sz="4" w:space="0"/>
            </w:tcBorders>
            <w:shd w:val="clear" w:color="000000" w:fill="FFFFFF"/>
            <w:vAlign w:val="center"/>
          </w:tcPr>
          <w:p>
            <w:pPr>
              <w:widowControl/>
              <w:jc w:val="center"/>
              <w:rPr>
                <w:color w:val="000000"/>
                <w:kern w:val="0"/>
                <w:sz w:val="24"/>
              </w:rPr>
            </w:pPr>
            <w:r>
              <w:rPr>
                <w:color w:val="000000"/>
                <w:kern w:val="0"/>
                <w:sz w:val="24"/>
              </w:rPr>
              <w:t>10</w:t>
            </w:r>
          </w:p>
        </w:tc>
        <w:tc>
          <w:tcPr>
            <w:tcW w:w="785"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20" w:hRule="atLeast"/>
        </w:trPr>
        <w:tc>
          <w:tcPr>
            <w:tcW w:w="959"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东关桥</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24.22</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36.176</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26.126</w:t>
            </w:r>
          </w:p>
        </w:tc>
        <w:tc>
          <w:tcPr>
            <w:tcW w:w="1133"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1.43</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7.82</w:t>
            </w:r>
          </w:p>
        </w:tc>
        <w:tc>
          <w:tcPr>
            <w:tcW w:w="708"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3.57</w:t>
            </w:r>
          </w:p>
        </w:tc>
        <w:tc>
          <w:tcPr>
            <w:tcW w:w="831" w:type="dxa"/>
            <w:tcBorders>
              <w:top w:val="nil"/>
              <w:left w:val="nil"/>
              <w:bottom w:val="single" w:color="auto" w:sz="4" w:space="0"/>
              <w:right w:val="single" w:color="auto" w:sz="4" w:space="0"/>
            </w:tcBorders>
            <w:shd w:val="clear" w:color="000000" w:fill="FFFFFF"/>
            <w:vAlign w:val="center"/>
          </w:tcPr>
          <w:p>
            <w:pPr>
              <w:widowControl/>
              <w:jc w:val="center"/>
              <w:rPr>
                <w:color w:val="000000"/>
                <w:kern w:val="0"/>
                <w:sz w:val="24"/>
              </w:rPr>
            </w:pPr>
            <w:r>
              <w:rPr>
                <w:color w:val="000000"/>
                <w:kern w:val="0"/>
                <w:sz w:val="24"/>
              </w:rPr>
              <w:t>10.3</w:t>
            </w:r>
          </w:p>
        </w:tc>
        <w:tc>
          <w:tcPr>
            <w:tcW w:w="785"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20" w:hRule="atLeast"/>
        </w:trPr>
        <w:tc>
          <w:tcPr>
            <w:tcW w:w="959"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泗州桥</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3.569</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96.176</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6.241</w:t>
            </w:r>
          </w:p>
        </w:tc>
        <w:tc>
          <w:tcPr>
            <w:tcW w:w="1133"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0.08</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7.9</w:t>
            </w:r>
          </w:p>
        </w:tc>
        <w:tc>
          <w:tcPr>
            <w:tcW w:w="708"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3.49</w:t>
            </w:r>
          </w:p>
        </w:tc>
        <w:tc>
          <w:tcPr>
            <w:tcW w:w="831" w:type="dxa"/>
            <w:tcBorders>
              <w:top w:val="nil"/>
              <w:left w:val="nil"/>
              <w:bottom w:val="single" w:color="auto" w:sz="4" w:space="0"/>
              <w:right w:val="single" w:color="auto" w:sz="4" w:space="0"/>
            </w:tcBorders>
            <w:shd w:val="clear" w:color="000000" w:fill="FFFFFF"/>
            <w:vAlign w:val="center"/>
          </w:tcPr>
          <w:p>
            <w:pPr>
              <w:widowControl/>
              <w:jc w:val="center"/>
              <w:rPr>
                <w:color w:val="000000"/>
                <w:kern w:val="0"/>
                <w:sz w:val="24"/>
              </w:rPr>
            </w:pPr>
            <w:r>
              <w:rPr>
                <w:color w:val="000000"/>
                <w:kern w:val="0"/>
                <w:sz w:val="24"/>
              </w:rPr>
              <w:t>10.8</w:t>
            </w:r>
          </w:p>
        </w:tc>
        <w:tc>
          <w:tcPr>
            <w:tcW w:w="785"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20" w:hRule="atLeast"/>
        </w:trPr>
        <w:tc>
          <w:tcPr>
            <w:tcW w:w="959"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中医</w:t>
            </w:r>
          </w:p>
          <w:p>
            <w:pPr>
              <w:widowControl/>
              <w:jc w:val="center"/>
              <w:rPr>
                <w:color w:val="000000"/>
                <w:kern w:val="0"/>
                <w:sz w:val="24"/>
              </w:rPr>
            </w:pPr>
            <w:r>
              <w:rPr>
                <w:color w:val="000000"/>
                <w:kern w:val="0"/>
                <w:sz w:val="24"/>
              </w:rPr>
              <w:t>院桥</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2.202</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45.882</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4.176</w:t>
            </w:r>
          </w:p>
        </w:tc>
        <w:tc>
          <w:tcPr>
            <w:tcW w:w="1133"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0.24</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8.3</w:t>
            </w:r>
          </w:p>
        </w:tc>
        <w:tc>
          <w:tcPr>
            <w:tcW w:w="708"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5.4</w:t>
            </w:r>
          </w:p>
        </w:tc>
        <w:tc>
          <w:tcPr>
            <w:tcW w:w="831" w:type="dxa"/>
            <w:tcBorders>
              <w:top w:val="nil"/>
              <w:left w:val="nil"/>
              <w:bottom w:val="single" w:color="auto" w:sz="4" w:space="0"/>
              <w:right w:val="single" w:color="auto" w:sz="4" w:space="0"/>
            </w:tcBorders>
            <w:shd w:val="clear" w:color="000000" w:fill="FFFFFF"/>
            <w:vAlign w:val="center"/>
          </w:tcPr>
          <w:p>
            <w:pPr>
              <w:widowControl/>
              <w:jc w:val="center"/>
              <w:rPr>
                <w:color w:val="000000"/>
                <w:kern w:val="0"/>
                <w:sz w:val="24"/>
              </w:rPr>
            </w:pPr>
            <w:r>
              <w:rPr>
                <w:color w:val="000000"/>
                <w:kern w:val="0"/>
                <w:sz w:val="24"/>
              </w:rPr>
              <w:t>10.7</w:t>
            </w:r>
          </w:p>
        </w:tc>
        <w:tc>
          <w:tcPr>
            <w:tcW w:w="785"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20" w:hRule="atLeast"/>
        </w:trPr>
        <w:tc>
          <w:tcPr>
            <w:tcW w:w="959"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大运河河口处</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3.022</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38.235</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5.581</w:t>
            </w:r>
          </w:p>
        </w:tc>
        <w:tc>
          <w:tcPr>
            <w:tcW w:w="1133"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0.07</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7.92</w:t>
            </w:r>
          </w:p>
        </w:tc>
        <w:tc>
          <w:tcPr>
            <w:tcW w:w="708"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3.4</w:t>
            </w:r>
          </w:p>
        </w:tc>
        <w:tc>
          <w:tcPr>
            <w:tcW w:w="831" w:type="dxa"/>
            <w:tcBorders>
              <w:top w:val="nil"/>
              <w:left w:val="nil"/>
              <w:bottom w:val="single" w:color="auto" w:sz="4" w:space="0"/>
              <w:right w:val="single" w:color="auto" w:sz="4" w:space="0"/>
            </w:tcBorders>
            <w:shd w:val="clear" w:color="000000" w:fill="FFFFFF"/>
            <w:vAlign w:val="center"/>
          </w:tcPr>
          <w:p>
            <w:pPr>
              <w:widowControl/>
              <w:jc w:val="center"/>
              <w:rPr>
                <w:color w:val="000000"/>
                <w:kern w:val="0"/>
                <w:sz w:val="24"/>
              </w:rPr>
            </w:pPr>
            <w:r>
              <w:rPr>
                <w:color w:val="000000"/>
                <w:kern w:val="0"/>
                <w:sz w:val="24"/>
              </w:rPr>
              <w:t>10.8</w:t>
            </w:r>
          </w:p>
        </w:tc>
        <w:tc>
          <w:tcPr>
            <w:tcW w:w="785"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20" w:hRule="atLeast"/>
        </w:trPr>
        <w:tc>
          <w:tcPr>
            <w:tcW w:w="959"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大运河进城汇河口</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2.886</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31.765</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5.985</w:t>
            </w:r>
          </w:p>
        </w:tc>
        <w:tc>
          <w:tcPr>
            <w:tcW w:w="1133"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0.13</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7.91</w:t>
            </w:r>
          </w:p>
        </w:tc>
        <w:tc>
          <w:tcPr>
            <w:tcW w:w="708"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3.96</w:t>
            </w:r>
          </w:p>
        </w:tc>
        <w:tc>
          <w:tcPr>
            <w:tcW w:w="831" w:type="dxa"/>
            <w:tcBorders>
              <w:top w:val="nil"/>
              <w:left w:val="nil"/>
              <w:bottom w:val="single" w:color="auto" w:sz="4" w:space="0"/>
              <w:right w:val="single" w:color="auto" w:sz="4" w:space="0"/>
            </w:tcBorders>
            <w:shd w:val="clear" w:color="000000" w:fill="FFFFFF"/>
            <w:vAlign w:val="center"/>
          </w:tcPr>
          <w:p>
            <w:pPr>
              <w:widowControl/>
              <w:jc w:val="center"/>
              <w:rPr>
                <w:color w:val="000000"/>
                <w:kern w:val="0"/>
                <w:sz w:val="24"/>
              </w:rPr>
            </w:pPr>
            <w:r>
              <w:rPr>
                <w:color w:val="000000"/>
                <w:kern w:val="0"/>
                <w:sz w:val="24"/>
              </w:rPr>
              <w:t>11.2</w:t>
            </w:r>
          </w:p>
        </w:tc>
        <w:tc>
          <w:tcPr>
            <w:tcW w:w="785"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20" w:hRule="atLeast"/>
        </w:trPr>
        <w:tc>
          <w:tcPr>
            <w:tcW w:w="959"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西二环路桥</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6.989</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18.824</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11.802</w:t>
            </w:r>
          </w:p>
        </w:tc>
        <w:tc>
          <w:tcPr>
            <w:tcW w:w="1133"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1.07</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8.46</w:t>
            </w:r>
          </w:p>
        </w:tc>
        <w:tc>
          <w:tcPr>
            <w:tcW w:w="708"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7.31</w:t>
            </w:r>
          </w:p>
        </w:tc>
        <w:tc>
          <w:tcPr>
            <w:tcW w:w="831" w:type="dxa"/>
            <w:tcBorders>
              <w:top w:val="nil"/>
              <w:left w:val="nil"/>
              <w:bottom w:val="single" w:color="auto" w:sz="4" w:space="0"/>
              <w:right w:val="single" w:color="auto" w:sz="4" w:space="0"/>
            </w:tcBorders>
            <w:shd w:val="clear" w:color="000000" w:fill="FFFFFF"/>
            <w:vAlign w:val="center"/>
          </w:tcPr>
          <w:p>
            <w:pPr>
              <w:widowControl/>
              <w:jc w:val="center"/>
              <w:rPr>
                <w:color w:val="000000"/>
                <w:kern w:val="0"/>
                <w:sz w:val="24"/>
              </w:rPr>
            </w:pPr>
            <w:r>
              <w:rPr>
                <w:color w:val="000000"/>
                <w:kern w:val="0"/>
                <w:sz w:val="24"/>
              </w:rPr>
              <w:t>10.8</w:t>
            </w:r>
          </w:p>
        </w:tc>
        <w:tc>
          <w:tcPr>
            <w:tcW w:w="785"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20" w:hRule="atLeast"/>
        </w:trPr>
        <w:tc>
          <w:tcPr>
            <w:tcW w:w="959"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运河首府路桥</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0.287</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0.289</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9.737</w:t>
            </w:r>
          </w:p>
        </w:tc>
        <w:tc>
          <w:tcPr>
            <w:tcW w:w="1133"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0.07</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8.74</w:t>
            </w:r>
          </w:p>
        </w:tc>
        <w:tc>
          <w:tcPr>
            <w:tcW w:w="708"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2.24</w:t>
            </w:r>
          </w:p>
        </w:tc>
        <w:tc>
          <w:tcPr>
            <w:tcW w:w="831" w:type="dxa"/>
            <w:tcBorders>
              <w:top w:val="nil"/>
              <w:left w:val="nil"/>
              <w:bottom w:val="single" w:color="auto" w:sz="4" w:space="0"/>
              <w:right w:val="single" w:color="auto" w:sz="4" w:space="0"/>
            </w:tcBorders>
            <w:shd w:val="clear" w:color="000000" w:fill="FFFFFF"/>
            <w:vAlign w:val="center"/>
          </w:tcPr>
          <w:p>
            <w:pPr>
              <w:widowControl/>
              <w:jc w:val="center"/>
              <w:rPr>
                <w:color w:val="000000"/>
                <w:kern w:val="0"/>
                <w:sz w:val="24"/>
              </w:rPr>
            </w:pPr>
            <w:r>
              <w:rPr>
                <w:color w:val="000000"/>
                <w:kern w:val="0"/>
                <w:sz w:val="24"/>
              </w:rPr>
              <w:t>10.3</w:t>
            </w:r>
          </w:p>
        </w:tc>
        <w:tc>
          <w:tcPr>
            <w:tcW w:w="785"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ascii="宋体" w:hAnsi="宋体" w:cs="宋体"/>
                <w:color w:val="000000"/>
                <w:kern w:val="0"/>
                <w:sz w:val="24"/>
              </w:rPr>
              <w:t>Ⅲ</w:t>
            </w:r>
            <w:r>
              <w:rPr>
                <w:color w:val="000000"/>
                <w:kern w:val="0"/>
                <w:sz w:val="24"/>
              </w:rPr>
              <w:t>类</w:t>
            </w:r>
          </w:p>
        </w:tc>
      </w:tr>
      <w:tr>
        <w:tblPrEx>
          <w:tblLayout w:type="fixed"/>
          <w:tblCellMar>
            <w:top w:w="0" w:type="dxa"/>
            <w:left w:w="108" w:type="dxa"/>
            <w:bottom w:w="0" w:type="dxa"/>
            <w:right w:w="108" w:type="dxa"/>
          </w:tblCellMar>
        </w:tblPrEx>
        <w:trPr>
          <w:trHeight w:val="20" w:hRule="atLeast"/>
        </w:trPr>
        <w:tc>
          <w:tcPr>
            <w:tcW w:w="959"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小李庄桥1</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1.245</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15.588</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6.672</w:t>
            </w:r>
          </w:p>
        </w:tc>
        <w:tc>
          <w:tcPr>
            <w:tcW w:w="1133"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1.53</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8.65</w:t>
            </w:r>
          </w:p>
        </w:tc>
        <w:tc>
          <w:tcPr>
            <w:tcW w:w="708"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3.33</w:t>
            </w:r>
          </w:p>
        </w:tc>
        <w:tc>
          <w:tcPr>
            <w:tcW w:w="831" w:type="dxa"/>
            <w:tcBorders>
              <w:top w:val="nil"/>
              <w:left w:val="nil"/>
              <w:bottom w:val="single" w:color="auto" w:sz="4" w:space="0"/>
              <w:right w:val="single" w:color="auto" w:sz="4" w:space="0"/>
            </w:tcBorders>
            <w:shd w:val="clear" w:color="000000" w:fill="FFFFFF"/>
            <w:vAlign w:val="center"/>
          </w:tcPr>
          <w:p>
            <w:pPr>
              <w:widowControl/>
              <w:jc w:val="center"/>
              <w:rPr>
                <w:color w:val="000000"/>
                <w:kern w:val="0"/>
                <w:sz w:val="24"/>
              </w:rPr>
            </w:pPr>
            <w:r>
              <w:rPr>
                <w:color w:val="000000"/>
                <w:kern w:val="0"/>
                <w:sz w:val="24"/>
              </w:rPr>
              <w:t>9.9</w:t>
            </w:r>
          </w:p>
        </w:tc>
        <w:tc>
          <w:tcPr>
            <w:tcW w:w="785"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20" w:hRule="atLeast"/>
        </w:trPr>
        <w:tc>
          <w:tcPr>
            <w:tcW w:w="959"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小李庄桥2</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0.287</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0.294</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3.516</w:t>
            </w:r>
          </w:p>
        </w:tc>
        <w:tc>
          <w:tcPr>
            <w:tcW w:w="1133"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0.02</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8.67</w:t>
            </w:r>
          </w:p>
        </w:tc>
        <w:tc>
          <w:tcPr>
            <w:tcW w:w="708"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0.89</w:t>
            </w:r>
          </w:p>
        </w:tc>
        <w:tc>
          <w:tcPr>
            <w:tcW w:w="831" w:type="dxa"/>
            <w:tcBorders>
              <w:top w:val="nil"/>
              <w:left w:val="nil"/>
              <w:bottom w:val="single" w:color="auto" w:sz="4" w:space="0"/>
              <w:right w:val="single" w:color="auto" w:sz="4" w:space="0"/>
            </w:tcBorders>
            <w:shd w:val="clear" w:color="000000" w:fill="FFFFFF"/>
            <w:vAlign w:val="center"/>
          </w:tcPr>
          <w:p>
            <w:pPr>
              <w:widowControl/>
              <w:jc w:val="center"/>
              <w:rPr>
                <w:color w:val="000000"/>
                <w:kern w:val="0"/>
                <w:sz w:val="24"/>
              </w:rPr>
            </w:pPr>
            <w:r>
              <w:rPr>
                <w:color w:val="000000"/>
                <w:kern w:val="0"/>
                <w:sz w:val="24"/>
              </w:rPr>
              <w:t>9.6</w:t>
            </w:r>
          </w:p>
        </w:tc>
        <w:tc>
          <w:tcPr>
            <w:tcW w:w="785"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ascii="宋体" w:hAnsi="宋体" w:cs="宋体"/>
                <w:color w:val="000000"/>
                <w:kern w:val="0"/>
                <w:sz w:val="24"/>
              </w:rPr>
              <w:t>Ⅲ</w:t>
            </w:r>
            <w:r>
              <w:rPr>
                <w:color w:val="000000"/>
                <w:kern w:val="0"/>
                <w:sz w:val="24"/>
              </w:rPr>
              <w:t>类</w:t>
            </w:r>
          </w:p>
        </w:tc>
      </w:tr>
      <w:tr>
        <w:tblPrEx>
          <w:tblLayout w:type="fixed"/>
          <w:tblCellMar>
            <w:top w:w="0" w:type="dxa"/>
            <w:left w:w="108" w:type="dxa"/>
            <w:bottom w:w="0" w:type="dxa"/>
            <w:right w:w="108" w:type="dxa"/>
          </w:tblCellMar>
        </w:tblPrEx>
        <w:trPr>
          <w:trHeight w:val="20" w:hRule="atLeast"/>
        </w:trPr>
        <w:tc>
          <w:tcPr>
            <w:tcW w:w="959"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072乡道桥</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0.561</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38.529</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13.265</w:t>
            </w:r>
          </w:p>
        </w:tc>
        <w:tc>
          <w:tcPr>
            <w:tcW w:w="1133"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0.07</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8.78</w:t>
            </w:r>
          </w:p>
        </w:tc>
        <w:tc>
          <w:tcPr>
            <w:tcW w:w="708"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9.47</w:t>
            </w:r>
          </w:p>
        </w:tc>
        <w:tc>
          <w:tcPr>
            <w:tcW w:w="831" w:type="dxa"/>
            <w:tcBorders>
              <w:top w:val="nil"/>
              <w:left w:val="nil"/>
              <w:bottom w:val="single" w:color="auto" w:sz="4" w:space="0"/>
              <w:right w:val="single" w:color="auto" w:sz="4" w:space="0"/>
            </w:tcBorders>
            <w:shd w:val="clear" w:color="000000" w:fill="FFFFFF"/>
            <w:vAlign w:val="center"/>
          </w:tcPr>
          <w:p>
            <w:pPr>
              <w:widowControl/>
              <w:jc w:val="center"/>
              <w:rPr>
                <w:color w:val="000000"/>
                <w:kern w:val="0"/>
                <w:sz w:val="24"/>
              </w:rPr>
            </w:pPr>
            <w:r>
              <w:rPr>
                <w:color w:val="000000"/>
                <w:kern w:val="0"/>
                <w:sz w:val="24"/>
              </w:rPr>
              <w:t>10.4</w:t>
            </w:r>
          </w:p>
        </w:tc>
        <w:tc>
          <w:tcPr>
            <w:tcW w:w="785"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20" w:hRule="atLeast"/>
        </w:trPr>
        <w:tc>
          <w:tcPr>
            <w:tcW w:w="959"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216省道桥</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0.424</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39.412</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8.448</w:t>
            </w:r>
          </w:p>
        </w:tc>
        <w:tc>
          <w:tcPr>
            <w:tcW w:w="1133"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0.07</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8.69</w:t>
            </w:r>
          </w:p>
        </w:tc>
        <w:tc>
          <w:tcPr>
            <w:tcW w:w="708"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12.9</w:t>
            </w:r>
          </w:p>
        </w:tc>
        <w:tc>
          <w:tcPr>
            <w:tcW w:w="831" w:type="dxa"/>
            <w:tcBorders>
              <w:top w:val="nil"/>
              <w:left w:val="nil"/>
              <w:bottom w:val="single" w:color="auto" w:sz="4" w:space="0"/>
              <w:right w:val="single" w:color="auto" w:sz="4" w:space="0"/>
            </w:tcBorders>
            <w:shd w:val="clear" w:color="000000" w:fill="FFFFFF"/>
            <w:vAlign w:val="center"/>
          </w:tcPr>
          <w:p>
            <w:pPr>
              <w:widowControl/>
              <w:jc w:val="center"/>
              <w:rPr>
                <w:color w:val="000000"/>
                <w:kern w:val="0"/>
                <w:sz w:val="24"/>
              </w:rPr>
            </w:pPr>
            <w:r>
              <w:rPr>
                <w:color w:val="000000"/>
                <w:kern w:val="0"/>
                <w:sz w:val="24"/>
              </w:rPr>
              <w:t>10.3</w:t>
            </w:r>
          </w:p>
        </w:tc>
        <w:tc>
          <w:tcPr>
            <w:tcW w:w="785"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20" w:hRule="atLeast"/>
        </w:trPr>
        <w:tc>
          <w:tcPr>
            <w:tcW w:w="959"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053县道桥</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0.424</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19.412</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3.783</w:t>
            </w:r>
          </w:p>
        </w:tc>
        <w:tc>
          <w:tcPr>
            <w:tcW w:w="1133"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0.07</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8.61</w:t>
            </w:r>
          </w:p>
        </w:tc>
        <w:tc>
          <w:tcPr>
            <w:tcW w:w="708"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9.84</w:t>
            </w:r>
          </w:p>
        </w:tc>
        <w:tc>
          <w:tcPr>
            <w:tcW w:w="831" w:type="dxa"/>
            <w:tcBorders>
              <w:top w:val="nil"/>
              <w:left w:val="nil"/>
              <w:bottom w:val="single" w:color="auto" w:sz="4" w:space="0"/>
              <w:right w:val="single" w:color="auto" w:sz="4" w:space="0"/>
            </w:tcBorders>
            <w:shd w:val="clear" w:color="000000" w:fill="FFFFFF"/>
            <w:vAlign w:val="center"/>
          </w:tcPr>
          <w:p>
            <w:pPr>
              <w:widowControl/>
              <w:jc w:val="center"/>
              <w:rPr>
                <w:color w:val="000000"/>
                <w:kern w:val="0"/>
                <w:sz w:val="24"/>
              </w:rPr>
            </w:pPr>
            <w:r>
              <w:rPr>
                <w:color w:val="000000"/>
                <w:kern w:val="0"/>
                <w:sz w:val="24"/>
              </w:rPr>
              <w:t>9.8</w:t>
            </w:r>
          </w:p>
        </w:tc>
        <w:tc>
          <w:tcPr>
            <w:tcW w:w="785"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ascii="宋体" w:hAnsi="宋体" w:cs="宋体"/>
                <w:color w:val="000000"/>
                <w:kern w:val="0"/>
                <w:sz w:val="24"/>
              </w:rPr>
              <w:t>Ⅲ</w:t>
            </w:r>
            <w:r>
              <w:rPr>
                <w:color w:val="000000"/>
                <w:kern w:val="0"/>
                <w:sz w:val="24"/>
              </w:rPr>
              <w:t>类</w:t>
            </w:r>
          </w:p>
        </w:tc>
      </w:tr>
      <w:tr>
        <w:tblPrEx>
          <w:tblLayout w:type="fixed"/>
          <w:tblCellMar>
            <w:top w:w="0" w:type="dxa"/>
            <w:left w:w="108" w:type="dxa"/>
            <w:bottom w:w="0" w:type="dxa"/>
            <w:right w:w="108" w:type="dxa"/>
          </w:tblCellMar>
        </w:tblPrEx>
        <w:trPr>
          <w:trHeight w:val="20" w:hRule="atLeast"/>
        </w:trPr>
        <w:tc>
          <w:tcPr>
            <w:tcW w:w="959"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076乡道桥</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0.424</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47.941</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9.994</w:t>
            </w:r>
          </w:p>
        </w:tc>
        <w:tc>
          <w:tcPr>
            <w:tcW w:w="1133"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0.18</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8.67</w:t>
            </w:r>
          </w:p>
        </w:tc>
        <w:tc>
          <w:tcPr>
            <w:tcW w:w="708"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11.96</w:t>
            </w:r>
          </w:p>
        </w:tc>
        <w:tc>
          <w:tcPr>
            <w:tcW w:w="831" w:type="dxa"/>
            <w:tcBorders>
              <w:top w:val="nil"/>
              <w:left w:val="nil"/>
              <w:bottom w:val="single" w:color="auto" w:sz="4" w:space="0"/>
              <w:right w:val="single" w:color="auto" w:sz="4" w:space="0"/>
            </w:tcBorders>
            <w:shd w:val="clear" w:color="000000" w:fill="FFFFFF"/>
            <w:vAlign w:val="center"/>
          </w:tcPr>
          <w:p>
            <w:pPr>
              <w:widowControl/>
              <w:jc w:val="center"/>
              <w:rPr>
                <w:color w:val="000000"/>
                <w:kern w:val="0"/>
                <w:sz w:val="24"/>
              </w:rPr>
            </w:pPr>
            <w:r>
              <w:rPr>
                <w:color w:val="000000"/>
                <w:kern w:val="0"/>
                <w:sz w:val="24"/>
              </w:rPr>
              <w:t>9.9</w:t>
            </w:r>
          </w:p>
        </w:tc>
        <w:tc>
          <w:tcPr>
            <w:tcW w:w="785"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20" w:hRule="atLeast"/>
        </w:trPr>
        <w:tc>
          <w:tcPr>
            <w:tcW w:w="959"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大运河唐河交汇处</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0.561</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74.412</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6.448</w:t>
            </w:r>
          </w:p>
        </w:tc>
        <w:tc>
          <w:tcPr>
            <w:tcW w:w="1133"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0.28</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8.68</w:t>
            </w:r>
          </w:p>
        </w:tc>
        <w:tc>
          <w:tcPr>
            <w:tcW w:w="708" w:type="dxa"/>
            <w:tcBorders>
              <w:top w:val="nil"/>
              <w:left w:val="nil"/>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11.25</w:t>
            </w:r>
          </w:p>
        </w:tc>
        <w:tc>
          <w:tcPr>
            <w:tcW w:w="831" w:type="dxa"/>
            <w:tcBorders>
              <w:top w:val="nil"/>
              <w:left w:val="nil"/>
              <w:bottom w:val="single" w:color="auto" w:sz="4" w:space="0"/>
              <w:right w:val="single" w:color="auto" w:sz="4" w:space="0"/>
            </w:tcBorders>
            <w:shd w:val="clear" w:color="000000" w:fill="FFFFFF"/>
            <w:vAlign w:val="center"/>
          </w:tcPr>
          <w:p>
            <w:pPr>
              <w:widowControl/>
              <w:jc w:val="center"/>
              <w:rPr>
                <w:color w:val="000000"/>
                <w:kern w:val="0"/>
                <w:sz w:val="24"/>
              </w:rPr>
            </w:pPr>
            <w:r>
              <w:rPr>
                <w:color w:val="000000"/>
                <w:kern w:val="0"/>
                <w:sz w:val="24"/>
              </w:rPr>
              <w:t>9.4</w:t>
            </w:r>
          </w:p>
        </w:tc>
        <w:tc>
          <w:tcPr>
            <w:tcW w:w="785"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bl>
    <w:p>
      <w:pPr>
        <w:widowControl/>
        <w:jc w:val="left"/>
        <w:rPr>
          <w:sz w:val="24"/>
          <w:szCs w:val="28"/>
        </w:rPr>
      </w:pPr>
    </w:p>
    <w:p>
      <w:pPr>
        <w:widowControl/>
        <w:spacing w:line="360" w:lineRule="auto"/>
        <w:ind w:firstLine="560" w:firstLineChars="200"/>
        <w:jc w:val="left"/>
        <w:rPr>
          <w:rFonts w:eastAsiaTheme="minorEastAsia"/>
          <w:sz w:val="28"/>
          <w:szCs w:val="28"/>
        </w:rPr>
      </w:pPr>
      <w:r>
        <w:rPr>
          <w:rFonts w:hint="eastAsia" w:eastAsiaTheme="minorEastAsia"/>
          <w:sz w:val="28"/>
          <w:szCs w:val="28"/>
        </w:rPr>
        <w:t>为了保证检测数据的准确性，于2020年12月份进行第二次取样检测，由于正在疏浚清淤，部分河段无水，因此本次只取了18个监测点的水样，从表2-8可以看出，氨氮含量变化不大，COD、总磷较第一次均有所提高，可能与第一次取样时下雨天气所导致。从两次数据可以看出COD和氨氮是导致水质超标的第一污染因子，其次是总磷。尤其是取水检测的COD，均值更是达到了52.915 mg/L，超出Ⅴ类水质标准的0.3倍，氨氮均值为4.449 mg/L，超出Ⅴ类水质标准的1.2倍。</w:t>
      </w:r>
    </w:p>
    <w:p>
      <w:pPr>
        <w:spacing w:line="360" w:lineRule="auto"/>
        <w:jc w:val="center"/>
        <w:rPr>
          <w:b/>
          <w:bCs/>
          <w:sz w:val="24"/>
        </w:rPr>
      </w:pPr>
      <w:r>
        <w:rPr>
          <w:b/>
          <w:bCs/>
          <w:sz w:val="24"/>
        </w:rPr>
        <w:t>表</w:t>
      </w:r>
      <w:r>
        <w:rPr>
          <w:rFonts w:hint="eastAsia"/>
          <w:b/>
          <w:bCs/>
          <w:sz w:val="24"/>
        </w:rPr>
        <w:t>2-8</w:t>
      </w:r>
      <w:r>
        <w:rPr>
          <w:b/>
          <w:bCs/>
          <w:sz w:val="24"/>
        </w:rPr>
        <w:t xml:space="preserve"> </w:t>
      </w:r>
      <w:r>
        <w:rPr>
          <w:rFonts w:hint="eastAsia"/>
          <w:b/>
          <w:bCs/>
          <w:sz w:val="24"/>
        </w:rPr>
        <w:t xml:space="preserve"> 大运河宿州段第二次取样</w:t>
      </w:r>
      <w:r>
        <w:rPr>
          <w:b/>
          <w:bCs/>
          <w:sz w:val="24"/>
        </w:rPr>
        <w:t>水质监测评价</w:t>
      </w:r>
    </w:p>
    <w:tbl>
      <w:tblPr>
        <w:tblStyle w:val="28"/>
        <w:tblW w:w="8528" w:type="dxa"/>
        <w:tblInd w:w="0" w:type="dxa"/>
        <w:tblLayout w:type="fixed"/>
        <w:tblCellMar>
          <w:top w:w="0" w:type="dxa"/>
          <w:left w:w="108" w:type="dxa"/>
          <w:bottom w:w="0" w:type="dxa"/>
          <w:right w:w="108" w:type="dxa"/>
        </w:tblCellMar>
      </w:tblPr>
      <w:tblGrid>
        <w:gridCol w:w="958"/>
        <w:gridCol w:w="1134"/>
        <w:gridCol w:w="1134"/>
        <w:gridCol w:w="1134"/>
        <w:gridCol w:w="1134"/>
        <w:gridCol w:w="710"/>
        <w:gridCol w:w="708"/>
        <w:gridCol w:w="884"/>
        <w:gridCol w:w="732"/>
      </w:tblGrid>
      <w:tr>
        <w:tblPrEx>
          <w:tblLayout w:type="fixed"/>
          <w:tblCellMar>
            <w:top w:w="0" w:type="dxa"/>
            <w:left w:w="108" w:type="dxa"/>
            <w:bottom w:w="0" w:type="dxa"/>
            <w:right w:w="108" w:type="dxa"/>
          </w:tblCellMar>
        </w:tblPrEx>
        <w:trPr>
          <w:trHeight w:val="315" w:hRule="atLeast"/>
          <w:tblHeader/>
        </w:trPr>
        <w:tc>
          <w:tcPr>
            <w:tcW w:w="95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b/>
                <w:color w:val="000000"/>
                <w:kern w:val="0"/>
                <w:sz w:val="24"/>
              </w:rPr>
            </w:pPr>
            <w:r>
              <w:rPr>
                <w:b/>
                <w:color w:val="000000"/>
                <w:kern w:val="0"/>
                <w:sz w:val="24"/>
              </w:rPr>
              <w:t>监测</w:t>
            </w:r>
          </w:p>
          <w:p>
            <w:pPr>
              <w:widowControl/>
              <w:jc w:val="center"/>
              <w:rPr>
                <w:b/>
                <w:color w:val="000000"/>
                <w:kern w:val="0"/>
                <w:sz w:val="24"/>
              </w:rPr>
            </w:pPr>
            <w:r>
              <w:rPr>
                <w:b/>
                <w:color w:val="000000"/>
                <w:kern w:val="0"/>
                <w:sz w:val="24"/>
              </w:rPr>
              <w:t>地点</w:t>
            </w:r>
          </w:p>
        </w:tc>
        <w:tc>
          <w:tcPr>
            <w:tcW w:w="1134"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color w:val="000000"/>
                <w:kern w:val="0"/>
                <w:sz w:val="24"/>
              </w:rPr>
            </w:pPr>
            <w:r>
              <w:rPr>
                <w:b/>
                <w:color w:val="000000"/>
                <w:kern w:val="0"/>
                <w:sz w:val="24"/>
              </w:rPr>
              <w:t>氨氮</w:t>
            </w:r>
            <w:r>
              <w:rPr>
                <w:b/>
                <w:color w:val="000000"/>
                <w:kern w:val="0"/>
                <w:sz w:val="24"/>
              </w:rPr>
              <w:br w:type="textWrapping"/>
            </w:r>
            <w:r>
              <w:rPr>
                <w:b/>
                <w:color w:val="000000"/>
                <w:kern w:val="0"/>
                <w:sz w:val="24"/>
              </w:rPr>
              <w:t>（mg/L）</w:t>
            </w:r>
          </w:p>
        </w:tc>
        <w:tc>
          <w:tcPr>
            <w:tcW w:w="1134"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color w:val="000000"/>
                <w:kern w:val="0"/>
                <w:sz w:val="24"/>
              </w:rPr>
            </w:pPr>
            <w:r>
              <w:rPr>
                <w:b/>
                <w:color w:val="000000"/>
                <w:kern w:val="0"/>
                <w:sz w:val="24"/>
              </w:rPr>
              <w:t>COD</w:t>
            </w:r>
            <w:r>
              <w:rPr>
                <w:b/>
                <w:color w:val="000000"/>
                <w:kern w:val="0"/>
                <w:sz w:val="24"/>
              </w:rPr>
              <w:br w:type="textWrapping"/>
            </w:r>
            <w:r>
              <w:rPr>
                <w:b/>
                <w:color w:val="000000"/>
                <w:kern w:val="0"/>
                <w:sz w:val="24"/>
              </w:rPr>
              <w:t>（mg/L）</w:t>
            </w:r>
          </w:p>
        </w:tc>
        <w:tc>
          <w:tcPr>
            <w:tcW w:w="1134" w:type="dxa"/>
            <w:tcBorders>
              <w:top w:val="single" w:color="auto" w:sz="4" w:space="0"/>
              <w:left w:val="nil"/>
              <w:bottom w:val="single" w:color="auto" w:sz="4" w:space="0"/>
              <w:right w:val="single" w:color="auto" w:sz="4" w:space="0"/>
            </w:tcBorders>
            <w:shd w:val="clear" w:color="000000" w:fill="FFFFFF"/>
            <w:vAlign w:val="center"/>
          </w:tcPr>
          <w:p>
            <w:pPr>
              <w:widowControl/>
              <w:jc w:val="center"/>
              <w:rPr>
                <w:b/>
                <w:color w:val="000000"/>
                <w:kern w:val="0"/>
                <w:sz w:val="24"/>
              </w:rPr>
            </w:pPr>
            <w:r>
              <w:rPr>
                <w:b/>
                <w:color w:val="000000"/>
                <w:kern w:val="0"/>
                <w:sz w:val="24"/>
              </w:rPr>
              <w:t>总氮</w:t>
            </w:r>
            <w:r>
              <w:rPr>
                <w:b/>
                <w:color w:val="000000"/>
                <w:kern w:val="0"/>
                <w:sz w:val="24"/>
              </w:rPr>
              <w:br w:type="textWrapping"/>
            </w:r>
            <w:r>
              <w:rPr>
                <w:b/>
                <w:color w:val="000000"/>
                <w:kern w:val="0"/>
                <w:sz w:val="24"/>
              </w:rPr>
              <w:t>（mg/L）</w:t>
            </w:r>
          </w:p>
        </w:tc>
        <w:tc>
          <w:tcPr>
            <w:tcW w:w="1134" w:type="dxa"/>
            <w:tcBorders>
              <w:top w:val="single" w:color="auto" w:sz="4" w:space="0"/>
              <w:left w:val="nil"/>
              <w:bottom w:val="single" w:color="auto" w:sz="4" w:space="0"/>
              <w:right w:val="single" w:color="auto" w:sz="4" w:space="0"/>
            </w:tcBorders>
            <w:shd w:val="clear" w:color="000000" w:fill="FFFFFF"/>
            <w:vAlign w:val="center"/>
          </w:tcPr>
          <w:p>
            <w:pPr>
              <w:widowControl/>
              <w:jc w:val="center"/>
              <w:rPr>
                <w:b/>
                <w:color w:val="000000"/>
                <w:kern w:val="0"/>
                <w:sz w:val="24"/>
              </w:rPr>
            </w:pPr>
            <w:r>
              <w:rPr>
                <w:b/>
                <w:color w:val="000000"/>
                <w:kern w:val="0"/>
                <w:sz w:val="24"/>
              </w:rPr>
              <w:t>总磷</w:t>
            </w:r>
            <w:r>
              <w:rPr>
                <w:b/>
                <w:color w:val="000000"/>
                <w:kern w:val="0"/>
                <w:sz w:val="24"/>
              </w:rPr>
              <w:br w:type="textWrapping"/>
            </w:r>
            <w:r>
              <w:rPr>
                <w:b/>
                <w:color w:val="000000"/>
                <w:kern w:val="0"/>
                <w:sz w:val="24"/>
              </w:rPr>
              <w:t>（mg/L）</w:t>
            </w:r>
          </w:p>
        </w:tc>
        <w:tc>
          <w:tcPr>
            <w:tcW w:w="710" w:type="dxa"/>
            <w:tcBorders>
              <w:top w:val="single" w:color="auto" w:sz="4" w:space="0"/>
              <w:left w:val="nil"/>
              <w:bottom w:val="single" w:color="auto" w:sz="4" w:space="0"/>
              <w:right w:val="single" w:color="auto" w:sz="4" w:space="0"/>
            </w:tcBorders>
            <w:shd w:val="clear" w:color="000000" w:fill="FFFFFF"/>
            <w:noWrap/>
            <w:vAlign w:val="center"/>
          </w:tcPr>
          <w:p>
            <w:pPr>
              <w:widowControl/>
              <w:jc w:val="center"/>
              <w:rPr>
                <w:b/>
                <w:color w:val="000000"/>
                <w:kern w:val="0"/>
                <w:sz w:val="24"/>
              </w:rPr>
            </w:pPr>
            <w:r>
              <w:rPr>
                <w:b/>
                <w:color w:val="000000"/>
                <w:kern w:val="0"/>
                <w:sz w:val="24"/>
              </w:rPr>
              <w:t>pH</w:t>
            </w:r>
          </w:p>
        </w:tc>
        <w:tc>
          <w:tcPr>
            <w:tcW w:w="708"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color w:val="000000"/>
                <w:kern w:val="0"/>
                <w:sz w:val="24"/>
              </w:rPr>
            </w:pPr>
            <w:r>
              <w:rPr>
                <w:b/>
                <w:color w:val="000000"/>
                <w:kern w:val="0"/>
                <w:sz w:val="24"/>
              </w:rPr>
              <w:t>溶解氧</w:t>
            </w:r>
          </w:p>
        </w:tc>
        <w:tc>
          <w:tcPr>
            <w:tcW w:w="884" w:type="dxa"/>
            <w:tcBorders>
              <w:top w:val="single" w:color="auto" w:sz="4" w:space="0"/>
              <w:left w:val="nil"/>
              <w:bottom w:val="single" w:color="auto" w:sz="4" w:space="0"/>
              <w:right w:val="single" w:color="auto" w:sz="4" w:space="0"/>
            </w:tcBorders>
            <w:shd w:val="clear" w:color="000000" w:fill="FFFFFF"/>
            <w:vAlign w:val="center"/>
          </w:tcPr>
          <w:p>
            <w:pPr>
              <w:widowControl/>
              <w:jc w:val="center"/>
              <w:rPr>
                <w:b/>
                <w:color w:val="000000"/>
                <w:kern w:val="0"/>
                <w:sz w:val="24"/>
              </w:rPr>
            </w:pPr>
            <w:r>
              <w:rPr>
                <w:b/>
                <w:color w:val="000000"/>
                <w:kern w:val="0"/>
                <w:sz w:val="24"/>
              </w:rPr>
              <w:t>T</w:t>
            </w:r>
          </w:p>
          <w:p>
            <w:pPr>
              <w:widowControl/>
              <w:jc w:val="center"/>
              <w:rPr>
                <w:b/>
                <w:color w:val="000000"/>
                <w:kern w:val="0"/>
                <w:sz w:val="24"/>
              </w:rPr>
            </w:pPr>
            <w:r>
              <w:rPr>
                <w:b/>
                <w:color w:val="000000"/>
                <w:kern w:val="0"/>
                <w:sz w:val="24"/>
              </w:rPr>
              <w:t>（</w:t>
            </w:r>
            <w:r>
              <w:rPr>
                <w:rFonts w:hint="eastAsia" w:ascii="宋体" w:hAnsi="宋体" w:cs="宋体"/>
                <w:b/>
                <w:color w:val="000000"/>
                <w:kern w:val="0"/>
                <w:sz w:val="24"/>
              </w:rPr>
              <w:t>℃</w:t>
            </w:r>
            <w:r>
              <w:rPr>
                <w:b/>
                <w:color w:val="000000"/>
                <w:kern w:val="0"/>
                <w:sz w:val="24"/>
              </w:rPr>
              <w:t>）</w:t>
            </w:r>
          </w:p>
        </w:tc>
        <w:tc>
          <w:tcPr>
            <w:tcW w:w="732" w:type="dxa"/>
            <w:tcBorders>
              <w:top w:val="single" w:color="auto" w:sz="4" w:space="0"/>
              <w:left w:val="nil"/>
              <w:bottom w:val="single" w:color="auto" w:sz="4" w:space="0"/>
              <w:right w:val="single" w:color="auto" w:sz="4" w:space="0"/>
            </w:tcBorders>
            <w:shd w:val="clear" w:color="000000" w:fill="FFFFFF"/>
            <w:vAlign w:val="center"/>
          </w:tcPr>
          <w:p>
            <w:pPr>
              <w:widowControl/>
              <w:jc w:val="center"/>
              <w:rPr>
                <w:b/>
                <w:color w:val="000000"/>
                <w:kern w:val="0"/>
                <w:sz w:val="24"/>
              </w:rPr>
            </w:pPr>
            <w:r>
              <w:rPr>
                <w:b/>
                <w:color w:val="000000"/>
                <w:kern w:val="0"/>
                <w:sz w:val="24"/>
              </w:rPr>
              <w:t>水质类别</w:t>
            </w:r>
          </w:p>
        </w:tc>
      </w:tr>
      <w:tr>
        <w:tblPrEx>
          <w:tblLayout w:type="fixed"/>
          <w:tblCellMar>
            <w:top w:w="0" w:type="dxa"/>
            <w:left w:w="108" w:type="dxa"/>
            <w:bottom w:w="0" w:type="dxa"/>
            <w:right w:w="108" w:type="dxa"/>
          </w:tblCellMar>
        </w:tblPrEx>
        <w:trPr>
          <w:trHeight w:val="330" w:hRule="atLeast"/>
        </w:trPr>
        <w:tc>
          <w:tcPr>
            <w:tcW w:w="958"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color w:val="000000"/>
                <w:kern w:val="0"/>
                <w:sz w:val="24"/>
              </w:rPr>
            </w:pPr>
            <w:r>
              <w:rPr>
                <w:color w:val="000000"/>
                <w:kern w:val="0"/>
                <w:sz w:val="24"/>
              </w:rPr>
              <w:t>濉河</w:t>
            </w:r>
          </w:p>
          <w:p>
            <w:pPr>
              <w:widowControl/>
              <w:jc w:val="center"/>
              <w:rPr>
                <w:rFonts w:eastAsia="等线"/>
                <w:color w:val="000000"/>
                <w:kern w:val="0"/>
                <w:sz w:val="24"/>
              </w:rPr>
            </w:pPr>
            <w:r>
              <w:rPr>
                <w:color w:val="000000"/>
                <w:kern w:val="0"/>
                <w:sz w:val="24"/>
              </w:rPr>
              <w:t>闸口</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0.787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27.500 </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 xml:space="preserve">2.482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0.89 </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7.7</w:t>
            </w:r>
          </w:p>
        </w:tc>
        <w:tc>
          <w:tcPr>
            <w:tcW w:w="708"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4.94</w:t>
            </w:r>
          </w:p>
        </w:tc>
        <w:tc>
          <w:tcPr>
            <w:tcW w:w="884" w:type="dxa"/>
            <w:tcBorders>
              <w:top w:val="nil"/>
              <w:left w:val="nil"/>
              <w:bottom w:val="single" w:color="auto" w:sz="4" w:space="0"/>
              <w:right w:val="single" w:color="auto" w:sz="4" w:space="0"/>
            </w:tcBorders>
            <w:shd w:val="clear" w:color="000000" w:fill="FFFFFF"/>
            <w:vAlign w:val="center"/>
          </w:tcPr>
          <w:p>
            <w:pPr>
              <w:widowControl/>
              <w:jc w:val="center"/>
              <w:rPr>
                <w:rFonts w:eastAsia="等线"/>
                <w:color w:val="000000"/>
                <w:kern w:val="0"/>
                <w:sz w:val="24"/>
              </w:rPr>
            </w:pPr>
            <w:r>
              <w:rPr>
                <w:rFonts w:eastAsia="等线"/>
                <w:color w:val="000000"/>
                <w:kern w:val="0"/>
                <w:sz w:val="24"/>
              </w:rPr>
              <w:t>8.9</w:t>
            </w:r>
          </w:p>
        </w:tc>
        <w:tc>
          <w:tcPr>
            <w:tcW w:w="732"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hint="eastAsia" w:ascii="宋体" w:hAnsi="宋体" w:cs="宋体"/>
                <w:color w:val="000000"/>
                <w:kern w:val="0"/>
                <w:sz w:val="24"/>
              </w:rPr>
              <w:t>Ⅳ</w:t>
            </w:r>
            <w:r>
              <w:rPr>
                <w:color w:val="000000"/>
                <w:kern w:val="0"/>
                <w:sz w:val="24"/>
              </w:rPr>
              <w:t>类</w:t>
            </w:r>
          </w:p>
        </w:tc>
      </w:tr>
      <w:tr>
        <w:tblPrEx>
          <w:tblLayout w:type="fixed"/>
          <w:tblCellMar>
            <w:top w:w="0" w:type="dxa"/>
            <w:left w:w="108" w:type="dxa"/>
            <w:bottom w:w="0" w:type="dxa"/>
            <w:right w:w="108" w:type="dxa"/>
          </w:tblCellMar>
        </w:tblPrEx>
        <w:trPr>
          <w:trHeight w:val="624" w:hRule="atLeast"/>
        </w:trPr>
        <w:tc>
          <w:tcPr>
            <w:tcW w:w="95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十里</w:t>
            </w:r>
          </w:p>
          <w:p>
            <w:pPr>
              <w:widowControl/>
              <w:jc w:val="center"/>
              <w:rPr>
                <w:rFonts w:eastAsia="等线"/>
                <w:color w:val="000000"/>
                <w:kern w:val="0"/>
                <w:sz w:val="24"/>
              </w:rPr>
            </w:pPr>
            <w:r>
              <w:rPr>
                <w:color w:val="000000"/>
                <w:kern w:val="0"/>
                <w:sz w:val="24"/>
              </w:rPr>
              <w:t>井桥</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0.927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62.794 </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 xml:space="preserve">2.882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0.94 </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7.81</w:t>
            </w:r>
          </w:p>
        </w:tc>
        <w:tc>
          <w:tcPr>
            <w:tcW w:w="708"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5.29</w:t>
            </w:r>
          </w:p>
        </w:tc>
        <w:tc>
          <w:tcPr>
            <w:tcW w:w="884" w:type="dxa"/>
            <w:tcBorders>
              <w:top w:val="nil"/>
              <w:left w:val="nil"/>
              <w:bottom w:val="single" w:color="auto" w:sz="4" w:space="0"/>
              <w:right w:val="single" w:color="auto" w:sz="4" w:space="0"/>
            </w:tcBorders>
            <w:shd w:val="clear" w:color="000000" w:fill="FFFFFF"/>
            <w:vAlign w:val="center"/>
          </w:tcPr>
          <w:p>
            <w:pPr>
              <w:widowControl/>
              <w:jc w:val="center"/>
              <w:rPr>
                <w:rFonts w:eastAsia="等线"/>
                <w:color w:val="000000"/>
                <w:kern w:val="0"/>
                <w:sz w:val="24"/>
              </w:rPr>
            </w:pPr>
            <w:r>
              <w:rPr>
                <w:rFonts w:eastAsia="等线"/>
                <w:color w:val="000000"/>
                <w:kern w:val="0"/>
                <w:sz w:val="24"/>
              </w:rPr>
              <w:t>6.8</w:t>
            </w:r>
          </w:p>
        </w:tc>
        <w:tc>
          <w:tcPr>
            <w:tcW w:w="732"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624" w:hRule="atLeast"/>
        </w:trPr>
        <w:tc>
          <w:tcPr>
            <w:tcW w:w="95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赤山</w:t>
            </w:r>
          </w:p>
          <w:p>
            <w:pPr>
              <w:widowControl/>
              <w:jc w:val="center"/>
              <w:rPr>
                <w:rFonts w:eastAsia="等线"/>
                <w:color w:val="000000"/>
                <w:kern w:val="0"/>
                <w:sz w:val="24"/>
              </w:rPr>
            </w:pPr>
            <w:r>
              <w:rPr>
                <w:color w:val="000000"/>
                <w:kern w:val="0"/>
                <w:sz w:val="24"/>
              </w:rPr>
              <w:t>路桥</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3.176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64.265 </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 xml:space="preserve">10.086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0.79 </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7.79</w:t>
            </w:r>
          </w:p>
        </w:tc>
        <w:tc>
          <w:tcPr>
            <w:tcW w:w="708"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7.17</w:t>
            </w:r>
          </w:p>
        </w:tc>
        <w:tc>
          <w:tcPr>
            <w:tcW w:w="884" w:type="dxa"/>
            <w:tcBorders>
              <w:top w:val="nil"/>
              <w:left w:val="nil"/>
              <w:bottom w:val="single" w:color="auto" w:sz="4" w:space="0"/>
              <w:right w:val="single" w:color="auto" w:sz="4" w:space="0"/>
            </w:tcBorders>
            <w:shd w:val="clear" w:color="000000" w:fill="FFFFFF"/>
            <w:vAlign w:val="center"/>
          </w:tcPr>
          <w:p>
            <w:pPr>
              <w:widowControl/>
              <w:jc w:val="center"/>
              <w:rPr>
                <w:rFonts w:eastAsia="等线"/>
                <w:color w:val="000000"/>
                <w:kern w:val="0"/>
                <w:sz w:val="24"/>
              </w:rPr>
            </w:pPr>
            <w:r>
              <w:rPr>
                <w:rFonts w:eastAsia="等线"/>
                <w:color w:val="000000"/>
                <w:kern w:val="0"/>
                <w:sz w:val="24"/>
              </w:rPr>
              <w:t>8.6</w:t>
            </w:r>
          </w:p>
        </w:tc>
        <w:tc>
          <w:tcPr>
            <w:tcW w:w="732"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624" w:hRule="atLeast"/>
        </w:trPr>
        <w:tc>
          <w:tcPr>
            <w:tcW w:w="95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color w:val="000000"/>
                <w:kern w:val="0"/>
                <w:sz w:val="24"/>
              </w:rPr>
              <w:t>丹凤桥</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15.823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64.559 </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 xml:space="preserve">17.759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1.59 </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7.75</w:t>
            </w:r>
          </w:p>
        </w:tc>
        <w:tc>
          <w:tcPr>
            <w:tcW w:w="708"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0.51</w:t>
            </w:r>
          </w:p>
        </w:tc>
        <w:tc>
          <w:tcPr>
            <w:tcW w:w="884" w:type="dxa"/>
            <w:tcBorders>
              <w:top w:val="nil"/>
              <w:left w:val="nil"/>
              <w:bottom w:val="single" w:color="auto" w:sz="4" w:space="0"/>
              <w:right w:val="single" w:color="auto" w:sz="4" w:space="0"/>
            </w:tcBorders>
            <w:shd w:val="clear" w:color="000000" w:fill="FFFFFF"/>
            <w:vAlign w:val="center"/>
          </w:tcPr>
          <w:p>
            <w:pPr>
              <w:widowControl/>
              <w:jc w:val="center"/>
              <w:rPr>
                <w:rFonts w:eastAsia="等线"/>
                <w:color w:val="000000"/>
                <w:kern w:val="0"/>
                <w:sz w:val="24"/>
              </w:rPr>
            </w:pPr>
            <w:r>
              <w:rPr>
                <w:rFonts w:eastAsia="等线"/>
                <w:color w:val="000000"/>
                <w:kern w:val="0"/>
                <w:sz w:val="24"/>
              </w:rPr>
              <w:t>9.1</w:t>
            </w:r>
          </w:p>
        </w:tc>
        <w:tc>
          <w:tcPr>
            <w:tcW w:w="732"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624" w:hRule="atLeast"/>
        </w:trPr>
        <w:tc>
          <w:tcPr>
            <w:tcW w:w="95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color w:val="000000"/>
                <w:kern w:val="0"/>
                <w:sz w:val="24"/>
              </w:rPr>
              <w:t>东二环路桥</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16.667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39.559 </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 xml:space="preserve">17.915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1.44 </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8.19</w:t>
            </w:r>
          </w:p>
        </w:tc>
        <w:tc>
          <w:tcPr>
            <w:tcW w:w="708"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0.30 </w:t>
            </w:r>
          </w:p>
        </w:tc>
        <w:tc>
          <w:tcPr>
            <w:tcW w:w="884" w:type="dxa"/>
            <w:tcBorders>
              <w:top w:val="nil"/>
              <w:left w:val="nil"/>
              <w:bottom w:val="single" w:color="auto" w:sz="4" w:space="0"/>
              <w:right w:val="single" w:color="auto" w:sz="4" w:space="0"/>
            </w:tcBorders>
            <w:shd w:val="clear" w:color="000000" w:fill="FFFFFF"/>
            <w:vAlign w:val="center"/>
          </w:tcPr>
          <w:p>
            <w:pPr>
              <w:widowControl/>
              <w:jc w:val="center"/>
              <w:rPr>
                <w:rFonts w:eastAsia="等线"/>
                <w:color w:val="000000"/>
                <w:kern w:val="0"/>
                <w:sz w:val="24"/>
              </w:rPr>
            </w:pPr>
            <w:r>
              <w:rPr>
                <w:rFonts w:eastAsia="等线"/>
                <w:color w:val="000000"/>
                <w:kern w:val="0"/>
                <w:sz w:val="24"/>
              </w:rPr>
              <w:t>9</w:t>
            </w:r>
          </w:p>
        </w:tc>
        <w:tc>
          <w:tcPr>
            <w:tcW w:w="732"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624" w:hRule="atLeast"/>
        </w:trPr>
        <w:tc>
          <w:tcPr>
            <w:tcW w:w="95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虹乡</w:t>
            </w:r>
          </w:p>
          <w:p>
            <w:pPr>
              <w:widowControl/>
              <w:jc w:val="center"/>
              <w:rPr>
                <w:rFonts w:eastAsia="等线"/>
                <w:color w:val="000000"/>
                <w:kern w:val="0"/>
                <w:sz w:val="24"/>
              </w:rPr>
            </w:pPr>
            <w:r>
              <w:rPr>
                <w:color w:val="000000"/>
                <w:kern w:val="0"/>
                <w:sz w:val="24"/>
              </w:rPr>
              <w:t>路桥</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14.699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44.559 </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 xml:space="preserve">15.277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1.09 </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7.92</w:t>
            </w:r>
          </w:p>
        </w:tc>
        <w:tc>
          <w:tcPr>
            <w:tcW w:w="708"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0.35</w:t>
            </w:r>
          </w:p>
        </w:tc>
        <w:tc>
          <w:tcPr>
            <w:tcW w:w="884" w:type="dxa"/>
            <w:tcBorders>
              <w:top w:val="nil"/>
              <w:left w:val="nil"/>
              <w:bottom w:val="single" w:color="auto" w:sz="4" w:space="0"/>
              <w:right w:val="single" w:color="auto" w:sz="4" w:space="0"/>
            </w:tcBorders>
            <w:shd w:val="clear" w:color="000000" w:fill="FFFFFF"/>
            <w:vAlign w:val="center"/>
          </w:tcPr>
          <w:p>
            <w:pPr>
              <w:widowControl/>
              <w:jc w:val="center"/>
              <w:rPr>
                <w:rFonts w:eastAsia="等线"/>
                <w:color w:val="000000"/>
                <w:kern w:val="0"/>
                <w:sz w:val="24"/>
              </w:rPr>
            </w:pPr>
            <w:r>
              <w:rPr>
                <w:rFonts w:eastAsia="等线"/>
                <w:color w:val="000000"/>
                <w:kern w:val="0"/>
                <w:sz w:val="24"/>
              </w:rPr>
              <w:t>8.7</w:t>
            </w:r>
          </w:p>
        </w:tc>
        <w:tc>
          <w:tcPr>
            <w:tcW w:w="732"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624" w:hRule="atLeast"/>
        </w:trPr>
        <w:tc>
          <w:tcPr>
            <w:tcW w:w="95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color w:val="000000"/>
                <w:kern w:val="0"/>
                <w:sz w:val="24"/>
              </w:rPr>
              <w:t>东关桥</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6.127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44.853 </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 xml:space="preserve">8.033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1.09 </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7.82</w:t>
            </w:r>
          </w:p>
        </w:tc>
        <w:tc>
          <w:tcPr>
            <w:tcW w:w="708"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12.15</w:t>
            </w:r>
          </w:p>
        </w:tc>
        <w:tc>
          <w:tcPr>
            <w:tcW w:w="884" w:type="dxa"/>
            <w:tcBorders>
              <w:top w:val="nil"/>
              <w:left w:val="nil"/>
              <w:bottom w:val="single" w:color="auto" w:sz="4" w:space="0"/>
              <w:right w:val="single" w:color="auto" w:sz="4" w:space="0"/>
            </w:tcBorders>
            <w:shd w:val="clear" w:color="000000" w:fill="FFFFFF"/>
            <w:vAlign w:val="center"/>
          </w:tcPr>
          <w:p>
            <w:pPr>
              <w:widowControl/>
              <w:jc w:val="center"/>
              <w:rPr>
                <w:rFonts w:eastAsia="等线"/>
                <w:color w:val="000000"/>
                <w:kern w:val="0"/>
                <w:sz w:val="24"/>
              </w:rPr>
            </w:pPr>
            <w:r>
              <w:rPr>
                <w:rFonts w:eastAsia="等线"/>
                <w:color w:val="000000"/>
                <w:kern w:val="0"/>
                <w:sz w:val="24"/>
              </w:rPr>
              <w:t>8.3</w:t>
            </w:r>
          </w:p>
        </w:tc>
        <w:tc>
          <w:tcPr>
            <w:tcW w:w="732"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624" w:hRule="atLeast"/>
        </w:trPr>
        <w:tc>
          <w:tcPr>
            <w:tcW w:w="95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color w:val="000000"/>
                <w:kern w:val="0"/>
                <w:sz w:val="24"/>
              </w:rPr>
              <w:t>泗州桥</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3.738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63.088 </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 xml:space="preserve">6.410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1.19 </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7.9</w:t>
            </w:r>
          </w:p>
        </w:tc>
        <w:tc>
          <w:tcPr>
            <w:tcW w:w="708"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10.5</w:t>
            </w:r>
          </w:p>
        </w:tc>
        <w:tc>
          <w:tcPr>
            <w:tcW w:w="884" w:type="dxa"/>
            <w:tcBorders>
              <w:top w:val="nil"/>
              <w:left w:val="nil"/>
              <w:bottom w:val="single" w:color="auto" w:sz="4" w:space="0"/>
              <w:right w:val="single" w:color="auto" w:sz="4" w:space="0"/>
            </w:tcBorders>
            <w:shd w:val="clear" w:color="000000" w:fill="FFFFFF"/>
            <w:vAlign w:val="center"/>
          </w:tcPr>
          <w:p>
            <w:pPr>
              <w:widowControl/>
              <w:jc w:val="center"/>
              <w:rPr>
                <w:rFonts w:eastAsia="等线"/>
                <w:color w:val="000000"/>
                <w:kern w:val="0"/>
                <w:sz w:val="24"/>
              </w:rPr>
            </w:pPr>
            <w:r>
              <w:rPr>
                <w:rFonts w:eastAsia="等线"/>
                <w:color w:val="000000"/>
                <w:kern w:val="0"/>
                <w:sz w:val="24"/>
              </w:rPr>
              <w:t>9</w:t>
            </w:r>
          </w:p>
        </w:tc>
        <w:tc>
          <w:tcPr>
            <w:tcW w:w="732"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624" w:hRule="atLeast"/>
        </w:trPr>
        <w:tc>
          <w:tcPr>
            <w:tcW w:w="95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中医</w:t>
            </w:r>
          </w:p>
          <w:p>
            <w:pPr>
              <w:widowControl/>
              <w:jc w:val="center"/>
              <w:rPr>
                <w:rFonts w:eastAsia="等线"/>
                <w:color w:val="000000"/>
                <w:kern w:val="0"/>
                <w:sz w:val="24"/>
              </w:rPr>
            </w:pPr>
            <w:r>
              <w:rPr>
                <w:color w:val="000000"/>
                <w:kern w:val="0"/>
                <w:sz w:val="24"/>
              </w:rPr>
              <w:t>院桥</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1.209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72.794 </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 xml:space="preserve">3.183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0.94 </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8.3</w:t>
            </w:r>
          </w:p>
        </w:tc>
        <w:tc>
          <w:tcPr>
            <w:tcW w:w="708"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9.23</w:t>
            </w:r>
          </w:p>
        </w:tc>
        <w:tc>
          <w:tcPr>
            <w:tcW w:w="884" w:type="dxa"/>
            <w:tcBorders>
              <w:top w:val="nil"/>
              <w:left w:val="nil"/>
              <w:bottom w:val="single" w:color="auto" w:sz="4" w:space="0"/>
              <w:right w:val="single" w:color="auto" w:sz="4" w:space="0"/>
            </w:tcBorders>
            <w:shd w:val="clear" w:color="000000" w:fill="FFFFFF"/>
            <w:vAlign w:val="center"/>
          </w:tcPr>
          <w:p>
            <w:pPr>
              <w:widowControl/>
              <w:jc w:val="center"/>
              <w:rPr>
                <w:rFonts w:eastAsia="等线"/>
                <w:color w:val="000000"/>
                <w:kern w:val="0"/>
                <w:sz w:val="24"/>
              </w:rPr>
            </w:pPr>
            <w:r>
              <w:rPr>
                <w:rFonts w:eastAsia="等线"/>
                <w:color w:val="000000"/>
                <w:kern w:val="0"/>
                <w:sz w:val="24"/>
              </w:rPr>
              <w:t>8.8</w:t>
            </w:r>
          </w:p>
        </w:tc>
        <w:tc>
          <w:tcPr>
            <w:tcW w:w="732"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624" w:hRule="atLeast"/>
        </w:trPr>
        <w:tc>
          <w:tcPr>
            <w:tcW w:w="958"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color w:val="000000"/>
                <w:kern w:val="0"/>
                <w:sz w:val="24"/>
              </w:rPr>
              <w:t>大运河河口处</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4.019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56.618 </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 xml:space="preserve">6.578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0.94 </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7.92</w:t>
            </w:r>
          </w:p>
        </w:tc>
        <w:tc>
          <w:tcPr>
            <w:tcW w:w="708"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8.25</w:t>
            </w:r>
          </w:p>
        </w:tc>
        <w:tc>
          <w:tcPr>
            <w:tcW w:w="884" w:type="dxa"/>
            <w:tcBorders>
              <w:top w:val="nil"/>
              <w:left w:val="nil"/>
              <w:bottom w:val="single" w:color="auto" w:sz="4" w:space="0"/>
              <w:right w:val="single" w:color="auto" w:sz="4" w:space="0"/>
            </w:tcBorders>
            <w:shd w:val="clear" w:color="000000" w:fill="FFFFFF"/>
            <w:vAlign w:val="center"/>
          </w:tcPr>
          <w:p>
            <w:pPr>
              <w:widowControl/>
              <w:jc w:val="center"/>
              <w:rPr>
                <w:rFonts w:eastAsia="等线"/>
                <w:color w:val="000000"/>
                <w:kern w:val="0"/>
                <w:sz w:val="24"/>
              </w:rPr>
            </w:pPr>
            <w:r>
              <w:rPr>
                <w:rFonts w:eastAsia="等线"/>
                <w:color w:val="000000"/>
                <w:kern w:val="0"/>
                <w:sz w:val="24"/>
              </w:rPr>
              <w:t>8.3</w:t>
            </w:r>
          </w:p>
        </w:tc>
        <w:tc>
          <w:tcPr>
            <w:tcW w:w="732"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624" w:hRule="atLeast"/>
        </w:trPr>
        <w:tc>
          <w:tcPr>
            <w:tcW w:w="958"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color w:val="000000"/>
                <w:kern w:val="0"/>
                <w:sz w:val="24"/>
              </w:rPr>
              <w:t>大运河进城汇河口</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3.316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72.794 </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 xml:space="preserve">6.415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1.04 </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7.91</w:t>
            </w:r>
          </w:p>
        </w:tc>
        <w:tc>
          <w:tcPr>
            <w:tcW w:w="708"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10.1</w:t>
            </w:r>
          </w:p>
        </w:tc>
        <w:tc>
          <w:tcPr>
            <w:tcW w:w="884" w:type="dxa"/>
            <w:tcBorders>
              <w:top w:val="nil"/>
              <w:left w:val="nil"/>
              <w:bottom w:val="single" w:color="auto" w:sz="4" w:space="0"/>
              <w:right w:val="single" w:color="auto" w:sz="4" w:space="0"/>
            </w:tcBorders>
            <w:shd w:val="clear" w:color="000000" w:fill="FFFFFF"/>
            <w:vAlign w:val="center"/>
          </w:tcPr>
          <w:p>
            <w:pPr>
              <w:widowControl/>
              <w:jc w:val="center"/>
              <w:rPr>
                <w:rFonts w:eastAsia="等线"/>
                <w:color w:val="000000"/>
                <w:kern w:val="0"/>
                <w:sz w:val="24"/>
              </w:rPr>
            </w:pPr>
            <w:r>
              <w:rPr>
                <w:rFonts w:eastAsia="等线"/>
                <w:color w:val="000000"/>
                <w:kern w:val="0"/>
                <w:sz w:val="24"/>
              </w:rPr>
              <w:t>9.4</w:t>
            </w:r>
          </w:p>
        </w:tc>
        <w:tc>
          <w:tcPr>
            <w:tcW w:w="732"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624" w:hRule="atLeast"/>
        </w:trPr>
        <w:tc>
          <w:tcPr>
            <w:tcW w:w="958"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color w:val="000000"/>
                <w:kern w:val="0"/>
                <w:sz w:val="24"/>
              </w:rPr>
              <w:t>小李庄桥</w:t>
            </w:r>
            <w:r>
              <w:rPr>
                <w:rFonts w:eastAsia="等线"/>
                <w:color w:val="000000"/>
                <w:kern w:val="0"/>
                <w:sz w:val="24"/>
              </w:rPr>
              <w:t>1</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3.879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48.971 </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 xml:space="preserve">9.306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1.29 </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8.65</w:t>
            </w:r>
          </w:p>
        </w:tc>
        <w:tc>
          <w:tcPr>
            <w:tcW w:w="708"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4.94</w:t>
            </w:r>
          </w:p>
        </w:tc>
        <w:tc>
          <w:tcPr>
            <w:tcW w:w="884" w:type="dxa"/>
            <w:tcBorders>
              <w:top w:val="nil"/>
              <w:left w:val="nil"/>
              <w:bottom w:val="single" w:color="auto" w:sz="4" w:space="0"/>
              <w:right w:val="single" w:color="auto" w:sz="4" w:space="0"/>
            </w:tcBorders>
            <w:shd w:val="clear" w:color="000000" w:fill="FFFFFF"/>
            <w:vAlign w:val="center"/>
          </w:tcPr>
          <w:p>
            <w:pPr>
              <w:widowControl/>
              <w:jc w:val="center"/>
              <w:rPr>
                <w:rFonts w:eastAsia="等线"/>
                <w:color w:val="000000"/>
                <w:kern w:val="0"/>
                <w:sz w:val="24"/>
              </w:rPr>
            </w:pPr>
            <w:r>
              <w:rPr>
                <w:rFonts w:eastAsia="等线"/>
                <w:color w:val="000000"/>
                <w:kern w:val="0"/>
                <w:sz w:val="24"/>
              </w:rPr>
              <w:t>8.9</w:t>
            </w:r>
          </w:p>
        </w:tc>
        <w:tc>
          <w:tcPr>
            <w:tcW w:w="732"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624" w:hRule="atLeast"/>
        </w:trPr>
        <w:tc>
          <w:tcPr>
            <w:tcW w:w="958" w:type="dxa"/>
            <w:tcBorders>
              <w:top w:val="nil"/>
              <w:left w:val="single" w:color="auto" w:sz="4" w:space="0"/>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color w:val="000000"/>
                <w:kern w:val="0"/>
                <w:sz w:val="24"/>
              </w:rPr>
              <w:t>小李庄桥</w:t>
            </w:r>
            <w:r>
              <w:rPr>
                <w:rFonts w:eastAsia="等线"/>
                <w:color w:val="000000"/>
                <w:kern w:val="0"/>
                <w:sz w:val="24"/>
              </w:rPr>
              <w:t>2</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1.068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35.441 </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 xml:space="preserve">4.297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0.98 </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8.67</w:t>
            </w:r>
          </w:p>
        </w:tc>
        <w:tc>
          <w:tcPr>
            <w:tcW w:w="708"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11.6</w:t>
            </w:r>
          </w:p>
        </w:tc>
        <w:tc>
          <w:tcPr>
            <w:tcW w:w="884" w:type="dxa"/>
            <w:tcBorders>
              <w:top w:val="nil"/>
              <w:left w:val="nil"/>
              <w:bottom w:val="single" w:color="auto" w:sz="4" w:space="0"/>
              <w:right w:val="single" w:color="auto" w:sz="4" w:space="0"/>
            </w:tcBorders>
            <w:shd w:val="clear" w:color="000000" w:fill="FFFFFF"/>
            <w:vAlign w:val="center"/>
          </w:tcPr>
          <w:p>
            <w:pPr>
              <w:widowControl/>
              <w:jc w:val="center"/>
              <w:rPr>
                <w:rFonts w:eastAsia="等线"/>
                <w:color w:val="000000"/>
                <w:kern w:val="0"/>
                <w:sz w:val="24"/>
              </w:rPr>
            </w:pPr>
            <w:r>
              <w:rPr>
                <w:rFonts w:eastAsia="等线"/>
                <w:color w:val="000000"/>
                <w:kern w:val="0"/>
                <w:sz w:val="24"/>
              </w:rPr>
              <w:t>8.4</w:t>
            </w:r>
          </w:p>
        </w:tc>
        <w:tc>
          <w:tcPr>
            <w:tcW w:w="732"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624" w:hRule="atLeast"/>
        </w:trPr>
        <w:tc>
          <w:tcPr>
            <w:tcW w:w="95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072</w:t>
            </w:r>
            <w:r>
              <w:rPr>
                <w:color w:val="000000"/>
                <w:kern w:val="0"/>
                <w:sz w:val="24"/>
              </w:rPr>
              <w:t>乡道桥</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1.068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49.559 </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 xml:space="preserve">13.772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0.84 </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8.78</w:t>
            </w:r>
          </w:p>
        </w:tc>
        <w:tc>
          <w:tcPr>
            <w:tcW w:w="708"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17.8</w:t>
            </w:r>
          </w:p>
        </w:tc>
        <w:tc>
          <w:tcPr>
            <w:tcW w:w="884" w:type="dxa"/>
            <w:tcBorders>
              <w:top w:val="nil"/>
              <w:left w:val="nil"/>
              <w:bottom w:val="single" w:color="auto" w:sz="4" w:space="0"/>
              <w:right w:val="single" w:color="auto" w:sz="4" w:space="0"/>
            </w:tcBorders>
            <w:shd w:val="clear" w:color="000000" w:fill="FFFFFF"/>
            <w:vAlign w:val="center"/>
          </w:tcPr>
          <w:p>
            <w:pPr>
              <w:widowControl/>
              <w:jc w:val="center"/>
              <w:rPr>
                <w:rFonts w:eastAsia="等线"/>
                <w:color w:val="000000"/>
                <w:kern w:val="0"/>
                <w:sz w:val="24"/>
              </w:rPr>
            </w:pPr>
            <w:r>
              <w:rPr>
                <w:rFonts w:eastAsia="等线"/>
                <w:color w:val="000000"/>
                <w:kern w:val="0"/>
                <w:sz w:val="24"/>
              </w:rPr>
              <w:t>9.1</w:t>
            </w:r>
          </w:p>
        </w:tc>
        <w:tc>
          <w:tcPr>
            <w:tcW w:w="732"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624" w:hRule="atLeast"/>
        </w:trPr>
        <w:tc>
          <w:tcPr>
            <w:tcW w:w="95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216</w:t>
            </w:r>
            <w:r>
              <w:rPr>
                <w:color w:val="000000"/>
                <w:kern w:val="0"/>
                <w:sz w:val="24"/>
              </w:rPr>
              <w:t>省道桥</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0.646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26.324 </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 xml:space="preserve">8.670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0.98 </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8.69</w:t>
            </w:r>
          </w:p>
        </w:tc>
        <w:tc>
          <w:tcPr>
            <w:tcW w:w="708"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15.2</w:t>
            </w:r>
          </w:p>
        </w:tc>
        <w:tc>
          <w:tcPr>
            <w:tcW w:w="884" w:type="dxa"/>
            <w:tcBorders>
              <w:top w:val="nil"/>
              <w:left w:val="nil"/>
              <w:bottom w:val="single" w:color="auto" w:sz="4" w:space="0"/>
              <w:right w:val="single" w:color="auto" w:sz="4" w:space="0"/>
            </w:tcBorders>
            <w:shd w:val="clear" w:color="000000" w:fill="FFFFFF"/>
            <w:vAlign w:val="center"/>
          </w:tcPr>
          <w:p>
            <w:pPr>
              <w:widowControl/>
              <w:jc w:val="center"/>
              <w:rPr>
                <w:rFonts w:eastAsia="等线"/>
                <w:color w:val="000000"/>
                <w:kern w:val="0"/>
                <w:sz w:val="24"/>
              </w:rPr>
            </w:pPr>
            <w:r>
              <w:rPr>
                <w:rFonts w:eastAsia="等线"/>
                <w:color w:val="000000"/>
                <w:kern w:val="0"/>
                <w:sz w:val="24"/>
              </w:rPr>
              <w:t>9.5</w:t>
            </w:r>
          </w:p>
        </w:tc>
        <w:tc>
          <w:tcPr>
            <w:tcW w:w="732"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hint="eastAsia" w:ascii="宋体" w:hAnsi="宋体" w:cs="宋体"/>
                <w:color w:val="000000"/>
                <w:kern w:val="0"/>
                <w:sz w:val="24"/>
              </w:rPr>
              <w:t>Ⅳ</w:t>
            </w:r>
            <w:r>
              <w:rPr>
                <w:color w:val="000000"/>
                <w:kern w:val="0"/>
                <w:sz w:val="24"/>
              </w:rPr>
              <w:t>类</w:t>
            </w:r>
          </w:p>
        </w:tc>
      </w:tr>
      <w:tr>
        <w:tblPrEx>
          <w:tblLayout w:type="fixed"/>
          <w:tblCellMar>
            <w:top w:w="0" w:type="dxa"/>
            <w:left w:w="108" w:type="dxa"/>
            <w:bottom w:w="0" w:type="dxa"/>
            <w:right w:w="108" w:type="dxa"/>
          </w:tblCellMar>
        </w:tblPrEx>
        <w:trPr>
          <w:trHeight w:val="624" w:hRule="atLeast"/>
        </w:trPr>
        <w:tc>
          <w:tcPr>
            <w:tcW w:w="95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053</w:t>
            </w:r>
            <w:r>
              <w:rPr>
                <w:color w:val="000000"/>
                <w:kern w:val="0"/>
                <w:sz w:val="24"/>
              </w:rPr>
              <w:t>县道桥</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1.068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73.676 </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 xml:space="preserve">4.427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0.99 </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8.61</w:t>
            </w:r>
          </w:p>
        </w:tc>
        <w:tc>
          <w:tcPr>
            <w:tcW w:w="708"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17.86</w:t>
            </w:r>
          </w:p>
        </w:tc>
        <w:tc>
          <w:tcPr>
            <w:tcW w:w="884" w:type="dxa"/>
            <w:tcBorders>
              <w:top w:val="nil"/>
              <w:left w:val="nil"/>
              <w:bottom w:val="single" w:color="auto" w:sz="4" w:space="0"/>
              <w:right w:val="single" w:color="auto" w:sz="4" w:space="0"/>
            </w:tcBorders>
            <w:shd w:val="clear" w:color="000000" w:fill="FFFFFF"/>
            <w:vAlign w:val="center"/>
          </w:tcPr>
          <w:p>
            <w:pPr>
              <w:widowControl/>
              <w:jc w:val="center"/>
              <w:rPr>
                <w:rFonts w:eastAsia="等线"/>
                <w:color w:val="000000"/>
                <w:kern w:val="0"/>
                <w:sz w:val="24"/>
              </w:rPr>
            </w:pPr>
            <w:r>
              <w:rPr>
                <w:rFonts w:eastAsia="等线"/>
                <w:color w:val="000000"/>
                <w:kern w:val="0"/>
                <w:sz w:val="24"/>
              </w:rPr>
              <w:t>8.4</w:t>
            </w:r>
          </w:p>
        </w:tc>
        <w:tc>
          <w:tcPr>
            <w:tcW w:w="732"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624" w:hRule="atLeast"/>
        </w:trPr>
        <w:tc>
          <w:tcPr>
            <w:tcW w:w="95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076</w:t>
            </w:r>
            <w:r>
              <w:rPr>
                <w:color w:val="000000"/>
                <w:kern w:val="0"/>
                <w:sz w:val="24"/>
              </w:rPr>
              <w:t>乡道桥</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0.927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52.206 </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 xml:space="preserve">10.497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0.69 </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8.67</w:t>
            </w:r>
          </w:p>
        </w:tc>
        <w:tc>
          <w:tcPr>
            <w:tcW w:w="708"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17.7</w:t>
            </w:r>
          </w:p>
        </w:tc>
        <w:tc>
          <w:tcPr>
            <w:tcW w:w="884" w:type="dxa"/>
            <w:tcBorders>
              <w:top w:val="nil"/>
              <w:left w:val="nil"/>
              <w:bottom w:val="single" w:color="auto" w:sz="4" w:space="0"/>
              <w:right w:val="single" w:color="auto" w:sz="4" w:space="0"/>
            </w:tcBorders>
            <w:shd w:val="clear" w:color="000000" w:fill="FFFFFF"/>
            <w:vAlign w:val="center"/>
          </w:tcPr>
          <w:p>
            <w:pPr>
              <w:widowControl/>
              <w:jc w:val="center"/>
              <w:rPr>
                <w:rFonts w:eastAsia="等线"/>
                <w:color w:val="000000"/>
                <w:kern w:val="0"/>
                <w:sz w:val="24"/>
              </w:rPr>
            </w:pPr>
            <w:r>
              <w:rPr>
                <w:rFonts w:eastAsia="等线"/>
                <w:color w:val="000000"/>
                <w:kern w:val="0"/>
                <w:sz w:val="24"/>
              </w:rPr>
              <w:t>8.3</w:t>
            </w:r>
          </w:p>
        </w:tc>
        <w:tc>
          <w:tcPr>
            <w:tcW w:w="732"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r>
        <w:tblPrEx>
          <w:tblLayout w:type="fixed"/>
          <w:tblCellMar>
            <w:top w:w="0" w:type="dxa"/>
            <w:left w:w="108" w:type="dxa"/>
            <w:bottom w:w="0" w:type="dxa"/>
            <w:right w:w="108" w:type="dxa"/>
          </w:tblCellMar>
        </w:tblPrEx>
        <w:trPr>
          <w:trHeight w:val="624" w:hRule="atLeast"/>
        </w:trPr>
        <w:tc>
          <w:tcPr>
            <w:tcW w:w="95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color w:val="000000"/>
                <w:kern w:val="0"/>
                <w:sz w:val="24"/>
              </w:rPr>
              <w:t>大运河唐河交汇处</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0.927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50.735 </w:t>
            </w:r>
          </w:p>
        </w:tc>
        <w:tc>
          <w:tcPr>
            <w:tcW w:w="1134"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 xml:space="preserve">6.814 </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 xml:space="preserve">0.89 </w:t>
            </w:r>
          </w:p>
        </w:tc>
        <w:tc>
          <w:tcPr>
            <w:tcW w:w="710"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rFonts w:eastAsia="等线"/>
                <w:color w:val="000000"/>
                <w:kern w:val="0"/>
                <w:sz w:val="24"/>
              </w:rPr>
              <w:t>8.68</w:t>
            </w:r>
          </w:p>
        </w:tc>
        <w:tc>
          <w:tcPr>
            <w:tcW w:w="708" w:type="dxa"/>
            <w:tcBorders>
              <w:top w:val="nil"/>
              <w:left w:val="nil"/>
              <w:bottom w:val="single" w:color="auto" w:sz="4" w:space="0"/>
              <w:right w:val="single" w:color="auto" w:sz="4"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16.52</w:t>
            </w:r>
          </w:p>
        </w:tc>
        <w:tc>
          <w:tcPr>
            <w:tcW w:w="884" w:type="dxa"/>
            <w:tcBorders>
              <w:top w:val="nil"/>
              <w:left w:val="nil"/>
              <w:bottom w:val="single" w:color="auto" w:sz="4" w:space="0"/>
              <w:right w:val="single" w:color="auto" w:sz="4" w:space="0"/>
            </w:tcBorders>
            <w:shd w:val="clear" w:color="000000" w:fill="FFFFFF"/>
            <w:vAlign w:val="center"/>
          </w:tcPr>
          <w:p>
            <w:pPr>
              <w:widowControl/>
              <w:jc w:val="center"/>
              <w:rPr>
                <w:rFonts w:eastAsia="等线"/>
                <w:color w:val="000000"/>
                <w:kern w:val="0"/>
                <w:sz w:val="24"/>
              </w:rPr>
            </w:pPr>
            <w:r>
              <w:rPr>
                <w:rFonts w:eastAsia="等线"/>
                <w:color w:val="000000"/>
                <w:kern w:val="0"/>
                <w:sz w:val="24"/>
              </w:rPr>
              <w:t>8.5</w:t>
            </w:r>
          </w:p>
        </w:tc>
        <w:tc>
          <w:tcPr>
            <w:tcW w:w="732" w:type="dxa"/>
            <w:tcBorders>
              <w:top w:val="nil"/>
              <w:left w:val="nil"/>
              <w:bottom w:val="single" w:color="auto" w:sz="4" w:space="0"/>
              <w:right w:val="single" w:color="auto" w:sz="4" w:space="0"/>
            </w:tcBorders>
            <w:shd w:val="clear" w:color="000000" w:fill="FFFFFF"/>
            <w:noWrap/>
            <w:vAlign w:val="center"/>
          </w:tcPr>
          <w:p>
            <w:pPr>
              <w:widowControl/>
              <w:jc w:val="center"/>
              <w:rPr>
                <w:rFonts w:eastAsia="等线"/>
                <w:color w:val="000000"/>
                <w:kern w:val="0"/>
                <w:sz w:val="24"/>
              </w:rPr>
            </w:pPr>
            <w:r>
              <w:rPr>
                <w:color w:val="000000"/>
                <w:kern w:val="0"/>
                <w:sz w:val="24"/>
              </w:rPr>
              <w:t>劣</w:t>
            </w:r>
            <w:r>
              <w:rPr>
                <w:rFonts w:hint="eastAsia" w:ascii="宋体" w:hAnsi="宋体" w:cs="宋体"/>
                <w:color w:val="000000"/>
                <w:kern w:val="0"/>
                <w:sz w:val="24"/>
              </w:rPr>
              <w:t>Ⅴ</w:t>
            </w:r>
            <w:r>
              <w:rPr>
                <w:color w:val="000000"/>
                <w:kern w:val="0"/>
                <w:sz w:val="24"/>
              </w:rPr>
              <w:t>类</w:t>
            </w:r>
          </w:p>
        </w:tc>
      </w:tr>
    </w:tbl>
    <w:p>
      <w:pPr>
        <w:widowControl/>
        <w:jc w:val="left"/>
      </w:pPr>
    </w:p>
    <w:p>
      <w:pPr>
        <w:pStyle w:val="4"/>
        <w:spacing w:before="312" w:after="312"/>
        <w:rPr>
          <w:rFonts w:eastAsiaTheme="minorEastAsia"/>
        </w:rPr>
      </w:pPr>
      <w:bookmarkStart w:id="116" w:name="_Toc84536527"/>
      <w:r>
        <w:rPr>
          <w:rFonts w:hint="eastAsia" w:eastAsiaTheme="minorEastAsia"/>
        </w:rPr>
        <w:t xml:space="preserve">2.4 </w:t>
      </w:r>
      <w:r>
        <w:rPr>
          <w:rFonts w:hint="eastAsia" w:asciiTheme="minorEastAsia" w:hAnsiTheme="minorEastAsia" w:eastAsiaTheme="minorEastAsia"/>
        </w:rPr>
        <w:t>大运河宿州段核心区</w:t>
      </w:r>
      <w:r>
        <w:rPr>
          <w:rFonts w:asciiTheme="minorEastAsia" w:hAnsiTheme="minorEastAsia" w:eastAsiaTheme="minorEastAsia"/>
        </w:rPr>
        <w:t>空气环境质量总体</w:t>
      </w:r>
      <w:r>
        <w:rPr>
          <w:rFonts w:hint="eastAsia" w:asciiTheme="minorEastAsia" w:hAnsiTheme="minorEastAsia" w:eastAsiaTheme="minorEastAsia"/>
        </w:rPr>
        <w:t>状</w:t>
      </w:r>
      <w:r>
        <w:rPr>
          <w:rFonts w:asciiTheme="minorEastAsia" w:hAnsiTheme="minorEastAsia" w:eastAsiaTheme="minorEastAsia"/>
        </w:rPr>
        <w:t>况</w:t>
      </w:r>
      <w:bookmarkEnd w:id="116"/>
    </w:p>
    <w:p>
      <w:pPr>
        <w:spacing w:line="480" w:lineRule="auto"/>
        <w:ind w:firstLine="560" w:firstLineChars="200"/>
        <w:rPr>
          <w:rFonts w:eastAsiaTheme="minorEastAsia"/>
          <w:sz w:val="28"/>
          <w:szCs w:val="28"/>
        </w:rPr>
      </w:pPr>
      <w:r>
        <w:rPr>
          <w:rFonts w:eastAsiaTheme="minorEastAsia"/>
          <w:sz w:val="28"/>
          <w:szCs w:val="28"/>
        </w:rPr>
        <w:t>宿州市于2015年开始在市区3个国控点位开展空气质量</w:t>
      </w:r>
      <w:r>
        <w:rPr>
          <w:rFonts w:hint="eastAsia" w:eastAsiaTheme="minorEastAsia"/>
          <w:sz w:val="28"/>
          <w:szCs w:val="28"/>
        </w:rPr>
        <w:t>6</w:t>
      </w:r>
      <w:r>
        <w:rPr>
          <w:rFonts w:eastAsiaTheme="minorEastAsia"/>
          <w:sz w:val="28"/>
          <w:szCs w:val="28"/>
        </w:rPr>
        <w:t>指标监测。</w:t>
      </w:r>
      <w:r>
        <w:rPr>
          <w:rFonts w:hint="eastAsia" w:eastAsiaTheme="minorEastAsia"/>
          <w:sz w:val="28"/>
          <w:szCs w:val="28"/>
        </w:rPr>
        <w:t>大运河宿州段核心区</w:t>
      </w:r>
      <w:r>
        <w:rPr>
          <w:rFonts w:eastAsiaTheme="minorEastAsia"/>
          <w:sz w:val="28"/>
          <w:szCs w:val="28"/>
        </w:rPr>
        <w:t>目前共有</w:t>
      </w:r>
      <w:r>
        <w:rPr>
          <w:rFonts w:hint="eastAsia" w:eastAsiaTheme="minorEastAsia"/>
          <w:sz w:val="28"/>
          <w:szCs w:val="28"/>
        </w:rPr>
        <w:t>3</w:t>
      </w:r>
      <w:r>
        <w:rPr>
          <w:rFonts w:eastAsiaTheme="minorEastAsia"/>
          <w:sz w:val="28"/>
          <w:szCs w:val="28"/>
        </w:rPr>
        <w:t>个国控点，</w:t>
      </w:r>
      <w:r>
        <w:rPr>
          <w:rFonts w:hint="eastAsia" w:eastAsiaTheme="minorEastAsia"/>
          <w:sz w:val="28"/>
          <w:szCs w:val="28"/>
        </w:rPr>
        <w:t>2</w:t>
      </w:r>
      <w:r>
        <w:rPr>
          <w:rFonts w:eastAsiaTheme="minorEastAsia"/>
          <w:sz w:val="28"/>
          <w:szCs w:val="28"/>
        </w:rPr>
        <w:t>个省控点。具体监测点位分布见图</w:t>
      </w:r>
      <w:r>
        <w:rPr>
          <w:rFonts w:hint="eastAsia" w:eastAsiaTheme="minorEastAsia"/>
          <w:sz w:val="28"/>
          <w:szCs w:val="28"/>
        </w:rPr>
        <w:t>2</w:t>
      </w:r>
      <w:r>
        <w:rPr>
          <w:rFonts w:eastAsiaTheme="minorEastAsia"/>
          <w:sz w:val="28"/>
          <w:szCs w:val="28"/>
        </w:rPr>
        <w:t>-</w:t>
      </w:r>
      <w:r>
        <w:rPr>
          <w:rFonts w:hint="eastAsia" w:eastAsiaTheme="minorEastAsia"/>
          <w:sz w:val="28"/>
          <w:szCs w:val="28"/>
        </w:rPr>
        <w:t>5。</w:t>
      </w:r>
    </w:p>
    <w:p>
      <w:pPr>
        <w:spacing w:line="480" w:lineRule="auto"/>
        <w:ind w:firstLine="560" w:firstLineChars="200"/>
        <w:rPr>
          <w:rFonts w:eastAsiaTheme="minorEastAsia"/>
          <w:sz w:val="28"/>
          <w:szCs w:val="28"/>
        </w:rPr>
      </w:pPr>
      <w:r>
        <w:rPr>
          <w:rFonts w:hint="eastAsia" w:eastAsiaTheme="minorEastAsia"/>
          <w:sz w:val="28"/>
          <w:szCs w:val="28"/>
        </w:rPr>
        <w:t>大运河宿州段核心区5</w:t>
      </w:r>
      <w:r>
        <w:rPr>
          <w:rFonts w:eastAsiaTheme="minorEastAsia"/>
          <w:sz w:val="28"/>
          <w:szCs w:val="28"/>
        </w:rPr>
        <w:t>个环境空气质量监测点具体信息如表</w:t>
      </w:r>
      <w:r>
        <w:rPr>
          <w:rFonts w:hint="eastAsia" w:eastAsiaTheme="minorEastAsia"/>
          <w:sz w:val="28"/>
          <w:szCs w:val="28"/>
        </w:rPr>
        <w:t>2-9</w:t>
      </w:r>
      <w:r>
        <w:rPr>
          <w:rFonts w:eastAsiaTheme="minorEastAsia"/>
          <w:sz w:val="28"/>
          <w:szCs w:val="28"/>
        </w:rPr>
        <w:t>所示。</w:t>
      </w:r>
    </w:p>
    <w:p>
      <w:pPr>
        <w:spacing w:line="480" w:lineRule="auto"/>
        <w:jc w:val="center"/>
        <w:rPr>
          <w:b/>
          <w:color w:val="000000" w:themeColor="text1"/>
          <w:kern w:val="0"/>
          <w:sz w:val="24"/>
          <w14:textFill>
            <w14:solidFill>
              <w14:schemeClr w14:val="tx1"/>
            </w14:solidFill>
          </w14:textFill>
        </w:rPr>
      </w:pPr>
      <w:r>
        <w:rPr>
          <w:b/>
          <w:color w:val="000000" w:themeColor="text1"/>
          <w:kern w:val="0"/>
          <w:sz w:val="24"/>
          <w14:textFill>
            <w14:solidFill>
              <w14:schemeClr w14:val="tx1"/>
            </w14:solidFill>
          </w14:textFill>
        </w:rPr>
        <w:t>表</w:t>
      </w:r>
      <w:r>
        <w:rPr>
          <w:rFonts w:hint="eastAsia"/>
          <w:b/>
          <w:color w:val="000000" w:themeColor="text1"/>
          <w:kern w:val="0"/>
          <w:sz w:val="24"/>
          <w14:textFill>
            <w14:solidFill>
              <w14:schemeClr w14:val="tx1"/>
            </w14:solidFill>
          </w14:textFill>
        </w:rPr>
        <w:t>2</w:t>
      </w:r>
      <w:r>
        <w:rPr>
          <w:b/>
          <w:color w:val="000000" w:themeColor="text1"/>
          <w:kern w:val="0"/>
          <w:sz w:val="24"/>
          <w14:textFill>
            <w14:solidFill>
              <w14:schemeClr w14:val="tx1"/>
            </w14:solidFill>
          </w14:textFill>
        </w:rPr>
        <w:t>-</w:t>
      </w:r>
      <w:r>
        <w:rPr>
          <w:rFonts w:hint="eastAsia"/>
          <w:b/>
          <w:color w:val="000000" w:themeColor="text1"/>
          <w:kern w:val="0"/>
          <w:sz w:val="24"/>
          <w14:textFill>
            <w14:solidFill>
              <w14:schemeClr w14:val="tx1"/>
            </w14:solidFill>
          </w14:textFill>
        </w:rPr>
        <w:t>9</w:t>
      </w:r>
      <w:r>
        <w:rPr>
          <w:b/>
          <w:color w:val="000000" w:themeColor="text1"/>
          <w:kern w:val="0"/>
          <w:sz w:val="24"/>
          <w14:textFill>
            <w14:solidFill>
              <w14:schemeClr w14:val="tx1"/>
            </w14:solidFill>
          </w14:textFill>
        </w:rPr>
        <w:t xml:space="preserve"> </w:t>
      </w:r>
      <w:r>
        <w:rPr>
          <w:rFonts w:hint="eastAsia"/>
          <w:b/>
          <w:color w:val="000000" w:themeColor="text1"/>
          <w:kern w:val="0"/>
          <w:sz w:val="24"/>
          <w14:textFill>
            <w14:solidFill>
              <w14:schemeClr w14:val="tx1"/>
            </w14:solidFill>
          </w14:textFill>
        </w:rPr>
        <w:t xml:space="preserve"> 大运河宿州段核心区</w:t>
      </w:r>
      <w:r>
        <w:rPr>
          <w:b/>
          <w:color w:val="000000" w:themeColor="text1"/>
          <w:kern w:val="0"/>
          <w:sz w:val="24"/>
          <w14:textFill>
            <w14:solidFill>
              <w14:schemeClr w14:val="tx1"/>
            </w14:solidFill>
          </w14:textFill>
        </w:rPr>
        <w:t>环境空气质量监测站点信息</w:t>
      </w:r>
    </w:p>
    <w:tbl>
      <w:tblPr>
        <w:tblStyle w:val="28"/>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4"/>
        <w:gridCol w:w="2192"/>
        <w:gridCol w:w="1358"/>
        <w:gridCol w:w="1358"/>
        <w:gridCol w:w="1458"/>
        <w:gridCol w:w="13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blHeader/>
          <w:jc w:val="center"/>
        </w:trPr>
        <w:tc>
          <w:tcPr>
            <w:tcW w:w="804" w:type="dxa"/>
            <w:shd w:val="clear" w:color="auto" w:fill="auto"/>
            <w:noWrap/>
            <w:vAlign w:val="center"/>
          </w:tcPr>
          <w:p>
            <w:pPr>
              <w:widowControl/>
              <w:jc w:val="center"/>
              <w:rPr>
                <w:b/>
                <w:kern w:val="0"/>
                <w:sz w:val="24"/>
              </w:rPr>
            </w:pPr>
            <w:r>
              <w:rPr>
                <w:b/>
                <w:kern w:val="0"/>
                <w:sz w:val="24"/>
              </w:rPr>
              <w:t>序号</w:t>
            </w:r>
          </w:p>
        </w:tc>
        <w:tc>
          <w:tcPr>
            <w:tcW w:w="2192" w:type="dxa"/>
            <w:shd w:val="clear" w:color="auto" w:fill="auto"/>
            <w:noWrap/>
            <w:vAlign w:val="center"/>
          </w:tcPr>
          <w:p>
            <w:pPr>
              <w:widowControl/>
              <w:jc w:val="center"/>
              <w:rPr>
                <w:b/>
                <w:kern w:val="0"/>
                <w:sz w:val="24"/>
              </w:rPr>
            </w:pPr>
            <w:r>
              <w:rPr>
                <w:b/>
                <w:kern w:val="0"/>
                <w:sz w:val="24"/>
              </w:rPr>
              <w:t>测点名称</w:t>
            </w:r>
          </w:p>
        </w:tc>
        <w:tc>
          <w:tcPr>
            <w:tcW w:w="1358" w:type="dxa"/>
            <w:shd w:val="clear" w:color="auto" w:fill="auto"/>
            <w:noWrap/>
            <w:vAlign w:val="center"/>
          </w:tcPr>
          <w:p>
            <w:pPr>
              <w:widowControl/>
              <w:jc w:val="center"/>
              <w:rPr>
                <w:b/>
                <w:kern w:val="0"/>
                <w:sz w:val="24"/>
              </w:rPr>
            </w:pPr>
            <w:r>
              <w:rPr>
                <w:b/>
                <w:kern w:val="0"/>
                <w:sz w:val="24"/>
              </w:rPr>
              <w:t>点位级别</w:t>
            </w:r>
          </w:p>
        </w:tc>
        <w:tc>
          <w:tcPr>
            <w:tcW w:w="1358" w:type="dxa"/>
            <w:shd w:val="clear" w:color="auto" w:fill="auto"/>
            <w:noWrap/>
            <w:vAlign w:val="center"/>
          </w:tcPr>
          <w:p>
            <w:pPr>
              <w:widowControl/>
              <w:jc w:val="center"/>
              <w:rPr>
                <w:b/>
                <w:kern w:val="0"/>
                <w:sz w:val="24"/>
              </w:rPr>
            </w:pPr>
            <w:r>
              <w:rPr>
                <w:b/>
                <w:kern w:val="0"/>
                <w:sz w:val="24"/>
              </w:rPr>
              <w:t>所属区县</w:t>
            </w:r>
          </w:p>
        </w:tc>
        <w:tc>
          <w:tcPr>
            <w:tcW w:w="1458" w:type="dxa"/>
            <w:shd w:val="clear" w:color="auto" w:fill="auto"/>
            <w:noWrap/>
            <w:vAlign w:val="center"/>
          </w:tcPr>
          <w:p>
            <w:pPr>
              <w:widowControl/>
              <w:jc w:val="center"/>
              <w:rPr>
                <w:b/>
                <w:kern w:val="0"/>
                <w:sz w:val="24"/>
              </w:rPr>
            </w:pPr>
            <w:r>
              <w:rPr>
                <w:b/>
                <w:kern w:val="0"/>
                <w:sz w:val="24"/>
              </w:rPr>
              <w:t>测点经度</w:t>
            </w:r>
          </w:p>
        </w:tc>
        <w:tc>
          <w:tcPr>
            <w:tcW w:w="1358" w:type="dxa"/>
            <w:shd w:val="clear" w:color="auto" w:fill="auto"/>
            <w:noWrap/>
            <w:vAlign w:val="center"/>
          </w:tcPr>
          <w:p>
            <w:pPr>
              <w:widowControl/>
              <w:jc w:val="center"/>
              <w:rPr>
                <w:b/>
                <w:kern w:val="0"/>
                <w:sz w:val="24"/>
              </w:rPr>
            </w:pPr>
            <w:r>
              <w:rPr>
                <w:b/>
                <w:kern w:val="0"/>
                <w:sz w:val="24"/>
              </w:rPr>
              <w:t>测点纬度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04" w:type="dxa"/>
            <w:vMerge w:val="restart"/>
            <w:shd w:val="clear" w:color="auto" w:fill="auto"/>
            <w:vAlign w:val="center"/>
          </w:tcPr>
          <w:p>
            <w:pPr>
              <w:widowControl/>
              <w:jc w:val="center"/>
              <w:rPr>
                <w:kern w:val="0"/>
                <w:sz w:val="24"/>
              </w:rPr>
            </w:pPr>
            <w:r>
              <w:rPr>
                <w:kern w:val="0"/>
                <w:sz w:val="24"/>
              </w:rPr>
              <w:t>1</w:t>
            </w:r>
          </w:p>
        </w:tc>
        <w:tc>
          <w:tcPr>
            <w:tcW w:w="2192" w:type="dxa"/>
            <w:shd w:val="clear" w:color="auto" w:fill="auto"/>
            <w:noWrap/>
            <w:vAlign w:val="center"/>
          </w:tcPr>
          <w:p>
            <w:pPr>
              <w:widowControl/>
              <w:jc w:val="center"/>
              <w:rPr>
                <w:kern w:val="0"/>
                <w:sz w:val="24"/>
              </w:rPr>
            </w:pPr>
            <w:r>
              <w:rPr>
                <w:kern w:val="0"/>
                <w:sz w:val="24"/>
              </w:rPr>
              <w:t>监测楼</w:t>
            </w:r>
          </w:p>
        </w:tc>
        <w:tc>
          <w:tcPr>
            <w:tcW w:w="1358" w:type="dxa"/>
            <w:vMerge w:val="restart"/>
            <w:shd w:val="clear" w:color="auto" w:fill="auto"/>
            <w:noWrap/>
            <w:vAlign w:val="center"/>
          </w:tcPr>
          <w:p>
            <w:pPr>
              <w:widowControl/>
              <w:jc w:val="center"/>
              <w:rPr>
                <w:kern w:val="0"/>
                <w:sz w:val="24"/>
              </w:rPr>
            </w:pPr>
            <w:r>
              <w:rPr>
                <w:kern w:val="0"/>
                <w:sz w:val="24"/>
              </w:rPr>
              <w:t>国控</w:t>
            </w:r>
          </w:p>
        </w:tc>
        <w:tc>
          <w:tcPr>
            <w:tcW w:w="1358" w:type="dxa"/>
            <w:vMerge w:val="restart"/>
            <w:shd w:val="clear" w:color="auto" w:fill="auto"/>
            <w:noWrap/>
            <w:vAlign w:val="center"/>
          </w:tcPr>
          <w:p>
            <w:pPr>
              <w:widowControl/>
              <w:jc w:val="center"/>
              <w:rPr>
                <w:kern w:val="0"/>
                <w:sz w:val="24"/>
              </w:rPr>
            </w:pPr>
            <w:r>
              <w:rPr>
                <w:kern w:val="0"/>
                <w:sz w:val="24"/>
              </w:rPr>
              <w:t>埇桥区</w:t>
            </w:r>
          </w:p>
        </w:tc>
        <w:tc>
          <w:tcPr>
            <w:tcW w:w="1458" w:type="dxa"/>
            <w:shd w:val="clear" w:color="auto" w:fill="auto"/>
            <w:noWrap/>
            <w:vAlign w:val="center"/>
          </w:tcPr>
          <w:p>
            <w:pPr>
              <w:widowControl/>
              <w:jc w:val="center"/>
              <w:rPr>
                <w:kern w:val="0"/>
                <w:sz w:val="24"/>
              </w:rPr>
            </w:pPr>
            <w:r>
              <w:rPr>
                <w:kern w:val="0"/>
                <w:sz w:val="24"/>
              </w:rPr>
              <w:t>E116.9767</w:t>
            </w:r>
          </w:p>
        </w:tc>
        <w:tc>
          <w:tcPr>
            <w:tcW w:w="1358" w:type="dxa"/>
            <w:shd w:val="clear" w:color="auto" w:fill="auto"/>
            <w:noWrap/>
            <w:vAlign w:val="center"/>
          </w:tcPr>
          <w:p>
            <w:pPr>
              <w:widowControl/>
              <w:jc w:val="center"/>
              <w:rPr>
                <w:kern w:val="0"/>
                <w:sz w:val="24"/>
              </w:rPr>
            </w:pPr>
            <w:r>
              <w:rPr>
                <w:kern w:val="0"/>
                <w:sz w:val="24"/>
              </w:rPr>
              <w:t>N33.6481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04" w:type="dxa"/>
            <w:vMerge w:val="continue"/>
            <w:vAlign w:val="center"/>
          </w:tcPr>
          <w:p>
            <w:pPr>
              <w:widowControl/>
              <w:jc w:val="center"/>
              <w:rPr>
                <w:kern w:val="0"/>
                <w:sz w:val="24"/>
              </w:rPr>
            </w:pPr>
          </w:p>
        </w:tc>
        <w:tc>
          <w:tcPr>
            <w:tcW w:w="2192" w:type="dxa"/>
            <w:shd w:val="clear" w:color="auto" w:fill="auto"/>
            <w:noWrap/>
            <w:vAlign w:val="center"/>
          </w:tcPr>
          <w:p>
            <w:pPr>
              <w:widowControl/>
              <w:jc w:val="center"/>
              <w:rPr>
                <w:kern w:val="0"/>
                <w:sz w:val="24"/>
              </w:rPr>
            </w:pPr>
            <w:r>
              <w:rPr>
                <w:kern w:val="0"/>
                <w:sz w:val="24"/>
              </w:rPr>
              <w:t>远航博物馆</w:t>
            </w:r>
          </w:p>
        </w:tc>
        <w:tc>
          <w:tcPr>
            <w:tcW w:w="1358" w:type="dxa"/>
            <w:vMerge w:val="continue"/>
            <w:shd w:val="clear" w:color="auto" w:fill="auto"/>
            <w:noWrap/>
            <w:vAlign w:val="center"/>
          </w:tcPr>
          <w:p>
            <w:pPr>
              <w:widowControl/>
              <w:jc w:val="center"/>
              <w:rPr>
                <w:kern w:val="0"/>
                <w:sz w:val="24"/>
              </w:rPr>
            </w:pPr>
          </w:p>
        </w:tc>
        <w:tc>
          <w:tcPr>
            <w:tcW w:w="1358" w:type="dxa"/>
            <w:vMerge w:val="continue"/>
            <w:shd w:val="clear" w:color="auto" w:fill="auto"/>
            <w:noWrap/>
            <w:vAlign w:val="center"/>
          </w:tcPr>
          <w:p>
            <w:pPr>
              <w:widowControl/>
              <w:jc w:val="center"/>
              <w:rPr>
                <w:kern w:val="0"/>
                <w:sz w:val="24"/>
              </w:rPr>
            </w:pPr>
          </w:p>
        </w:tc>
        <w:tc>
          <w:tcPr>
            <w:tcW w:w="1458" w:type="dxa"/>
            <w:shd w:val="clear" w:color="auto" w:fill="auto"/>
            <w:noWrap/>
            <w:vAlign w:val="center"/>
          </w:tcPr>
          <w:p>
            <w:pPr>
              <w:widowControl/>
              <w:jc w:val="center"/>
              <w:rPr>
                <w:kern w:val="0"/>
                <w:sz w:val="24"/>
              </w:rPr>
            </w:pPr>
            <w:r>
              <w:rPr>
                <w:kern w:val="0"/>
                <w:sz w:val="24"/>
              </w:rPr>
              <w:t>E116.9509</w:t>
            </w:r>
          </w:p>
        </w:tc>
        <w:tc>
          <w:tcPr>
            <w:tcW w:w="1358" w:type="dxa"/>
            <w:shd w:val="clear" w:color="auto" w:fill="auto"/>
            <w:noWrap/>
            <w:vAlign w:val="center"/>
          </w:tcPr>
          <w:p>
            <w:pPr>
              <w:widowControl/>
              <w:jc w:val="center"/>
              <w:rPr>
                <w:kern w:val="0"/>
                <w:sz w:val="24"/>
              </w:rPr>
            </w:pPr>
            <w:r>
              <w:rPr>
                <w:kern w:val="0"/>
                <w:sz w:val="24"/>
              </w:rPr>
              <w:t>N33.6660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04" w:type="dxa"/>
            <w:shd w:val="clear" w:color="auto" w:fill="auto"/>
            <w:noWrap/>
            <w:vAlign w:val="center"/>
          </w:tcPr>
          <w:p>
            <w:pPr>
              <w:widowControl/>
              <w:jc w:val="center"/>
              <w:rPr>
                <w:kern w:val="0"/>
                <w:sz w:val="24"/>
              </w:rPr>
            </w:pPr>
            <w:r>
              <w:rPr>
                <w:kern w:val="0"/>
                <w:sz w:val="24"/>
              </w:rPr>
              <w:t>2</w:t>
            </w:r>
          </w:p>
        </w:tc>
        <w:tc>
          <w:tcPr>
            <w:tcW w:w="2192" w:type="dxa"/>
            <w:shd w:val="clear" w:color="auto" w:fill="auto"/>
            <w:noWrap/>
            <w:vAlign w:val="center"/>
          </w:tcPr>
          <w:p>
            <w:pPr>
              <w:widowControl/>
              <w:jc w:val="center"/>
              <w:rPr>
                <w:kern w:val="0"/>
                <w:sz w:val="24"/>
              </w:rPr>
            </w:pPr>
            <w:r>
              <w:rPr>
                <w:kern w:val="0"/>
                <w:sz w:val="24"/>
              </w:rPr>
              <w:t>火车站</w:t>
            </w:r>
          </w:p>
        </w:tc>
        <w:tc>
          <w:tcPr>
            <w:tcW w:w="1358" w:type="dxa"/>
            <w:shd w:val="clear" w:color="auto" w:fill="auto"/>
            <w:noWrap/>
            <w:vAlign w:val="center"/>
          </w:tcPr>
          <w:p>
            <w:pPr>
              <w:widowControl/>
              <w:jc w:val="center"/>
              <w:rPr>
                <w:kern w:val="0"/>
                <w:sz w:val="24"/>
              </w:rPr>
            </w:pPr>
            <w:r>
              <w:rPr>
                <w:kern w:val="0"/>
                <w:sz w:val="24"/>
              </w:rPr>
              <w:t>国控</w:t>
            </w:r>
          </w:p>
        </w:tc>
        <w:tc>
          <w:tcPr>
            <w:tcW w:w="1358" w:type="dxa"/>
            <w:shd w:val="clear" w:color="auto" w:fill="auto"/>
            <w:noWrap/>
            <w:vAlign w:val="center"/>
          </w:tcPr>
          <w:p>
            <w:pPr>
              <w:widowControl/>
              <w:jc w:val="center"/>
              <w:rPr>
                <w:kern w:val="0"/>
                <w:sz w:val="24"/>
              </w:rPr>
            </w:pPr>
            <w:r>
              <w:rPr>
                <w:kern w:val="0"/>
                <w:sz w:val="24"/>
              </w:rPr>
              <w:t>埇桥区</w:t>
            </w:r>
          </w:p>
        </w:tc>
        <w:tc>
          <w:tcPr>
            <w:tcW w:w="1458" w:type="dxa"/>
            <w:shd w:val="clear" w:color="auto" w:fill="auto"/>
            <w:noWrap/>
            <w:vAlign w:val="center"/>
          </w:tcPr>
          <w:p>
            <w:pPr>
              <w:widowControl/>
              <w:jc w:val="center"/>
              <w:rPr>
                <w:kern w:val="0"/>
                <w:sz w:val="24"/>
              </w:rPr>
            </w:pPr>
            <w:r>
              <w:rPr>
                <w:kern w:val="0"/>
                <w:sz w:val="24"/>
              </w:rPr>
              <w:t>E116.9900</w:t>
            </w:r>
          </w:p>
        </w:tc>
        <w:tc>
          <w:tcPr>
            <w:tcW w:w="1358" w:type="dxa"/>
            <w:shd w:val="clear" w:color="auto" w:fill="auto"/>
            <w:noWrap/>
            <w:vAlign w:val="center"/>
          </w:tcPr>
          <w:p>
            <w:pPr>
              <w:widowControl/>
              <w:jc w:val="center"/>
              <w:rPr>
                <w:kern w:val="0"/>
                <w:sz w:val="24"/>
              </w:rPr>
            </w:pPr>
            <w:r>
              <w:rPr>
                <w:kern w:val="0"/>
                <w:sz w:val="24"/>
              </w:rPr>
              <w:t>N33.6324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04" w:type="dxa"/>
            <w:shd w:val="clear" w:color="auto" w:fill="auto"/>
            <w:noWrap/>
            <w:vAlign w:val="center"/>
          </w:tcPr>
          <w:p>
            <w:pPr>
              <w:widowControl/>
              <w:jc w:val="center"/>
              <w:rPr>
                <w:kern w:val="0"/>
                <w:sz w:val="24"/>
              </w:rPr>
            </w:pPr>
            <w:r>
              <w:rPr>
                <w:kern w:val="0"/>
                <w:sz w:val="24"/>
              </w:rPr>
              <w:t>3</w:t>
            </w:r>
          </w:p>
        </w:tc>
        <w:tc>
          <w:tcPr>
            <w:tcW w:w="2192" w:type="dxa"/>
            <w:shd w:val="clear" w:color="auto" w:fill="auto"/>
            <w:noWrap/>
            <w:vAlign w:val="center"/>
          </w:tcPr>
          <w:p>
            <w:pPr>
              <w:widowControl/>
              <w:jc w:val="center"/>
              <w:rPr>
                <w:kern w:val="0"/>
                <w:sz w:val="24"/>
              </w:rPr>
            </w:pPr>
            <w:r>
              <w:rPr>
                <w:kern w:val="0"/>
                <w:sz w:val="24"/>
              </w:rPr>
              <w:t>一中</w:t>
            </w:r>
          </w:p>
        </w:tc>
        <w:tc>
          <w:tcPr>
            <w:tcW w:w="1358" w:type="dxa"/>
            <w:shd w:val="clear" w:color="auto" w:fill="auto"/>
            <w:noWrap/>
            <w:vAlign w:val="center"/>
          </w:tcPr>
          <w:p>
            <w:pPr>
              <w:widowControl/>
              <w:jc w:val="center"/>
              <w:rPr>
                <w:kern w:val="0"/>
                <w:sz w:val="24"/>
              </w:rPr>
            </w:pPr>
            <w:r>
              <w:rPr>
                <w:kern w:val="0"/>
                <w:sz w:val="24"/>
              </w:rPr>
              <w:t>国控</w:t>
            </w:r>
          </w:p>
        </w:tc>
        <w:tc>
          <w:tcPr>
            <w:tcW w:w="1358" w:type="dxa"/>
            <w:shd w:val="clear" w:color="auto" w:fill="auto"/>
            <w:noWrap/>
            <w:vAlign w:val="center"/>
          </w:tcPr>
          <w:p>
            <w:pPr>
              <w:widowControl/>
              <w:jc w:val="center"/>
              <w:rPr>
                <w:kern w:val="0"/>
                <w:sz w:val="24"/>
              </w:rPr>
            </w:pPr>
            <w:r>
              <w:rPr>
                <w:kern w:val="0"/>
                <w:sz w:val="24"/>
              </w:rPr>
              <w:t>埇桥区</w:t>
            </w:r>
          </w:p>
        </w:tc>
        <w:tc>
          <w:tcPr>
            <w:tcW w:w="1458" w:type="dxa"/>
            <w:shd w:val="clear" w:color="auto" w:fill="auto"/>
            <w:noWrap/>
            <w:vAlign w:val="center"/>
          </w:tcPr>
          <w:p>
            <w:pPr>
              <w:widowControl/>
              <w:jc w:val="center"/>
              <w:rPr>
                <w:kern w:val="0"/>
                <w:sz w:val="24"/>
              </w:rPr>
            </w:pPr>
            <w:r>
              <w:rPr>
                <w:kern w:val="0"/>
                <w:sz w:val="24"/>
              </w:rPr>
              <w:t>E116.9704</w:t>
            </w:r>
          </w:p>
        </w:tc>
        <w:tc>
          <w:tcPr>
            <w:tcW w:w="1358" w:type="dxa"/>
            <w:shd w:val="clear" w:color="auto" w:fill="auto"/>
            <w:noWrap/>
            <w:vAlign w:val="center"/>
          </w:tcPr>
          <w:p>
            <w:pPr>
              <w:widowControl/>
              <w:jc w:val="center"/>
              <w:rPr>
                <w:kern w:val="0"/>
                <w:sz w:val="24"/>
              </w:rPr>
            </w:pPr>
            <w:r>
              <w:rPr>
                <w:kern w:val="0"/>
                <w:sz w:val="24"/>
              </w:rPr>
              <w:t>N33.6239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04" w:type="dxa"/>
            <w:shd w:val="clear" w:color="auto" w:fill="auto"/>
            <w:noWrap/>
            <w:vAlign w:val="center"/>
          </w:tcPr>
          <w:p>
            <w:pPr>
              <w:widowControl/>
              <w:jc w:val="center"/>
              <w:rPr>
                <w:kern w:val="0"/>
                <w:sz w:val="24"/>
              </w:rPr>
            </w:pPr>
            <w:r>
              <w:rPr>
                <w:rFonts w:hint="eastAsia"/>
                <w:kern w:val="0"/>
                <w:sz w:val="24"/>
              </w:rPr>
              <w:t>4</w:t>
            </w:r>
          </w:p>
        </w:tc>
        <w:tc>
          <w:tcPr>
            <w:tcW w:w="2192" w:type="dxa"/>
            <w:shd w:val="clear" w:color="auto" w:fill="auto"/>
            <w:noWrap/>
            <w:vAlign w:val="center"/>
          </w:tcPr>
          <w:p>
            <w:pPr>
              <w:widowControl/>
              <w:jc w:val="center"/>
              <w:rPr>
                <w:kern w:val="0"/>
                <w:sz w:val="24"/>
              </w:rPr>
            </w:pPr>
            <w:r>
              <w:rPr>
                <w:kern w:val="0"/>
                <w:sz w:val="24"/>
              </w:rPr>
              <w:t>泗县市府广场</w:t>
            </w:r>
          </w:p>
        </w:tc>
        <w:tc>
          <w:tcPr>
            <w:tcW w:w="1358" w:type="dxa"/>
            <w:shd w:val="clear" w:color="auto" w:fill="auto"/>
            <w:noWrap/>
            <w:vAlign w:val="center"/>
          </w:tcPr>
          <w:p>
            <w:pPr>
              <w:widowControl/>
              <w:jc w:val="center"/>
              <w:rPr>
                <w:kern w:val="0"/>
                <w:sz w:val="24"/>
              </w:rPr>
            </w:pPr>
            <w:r>
              <w:rPr>
                <w:kern w:val="0"/>
                <w:sz w:val="24"/>
              </w:rPr>
              <w:t>省控</w:t>
            </w:r>
          </w:p>
        </w:tc>
        <w:tc>
          <w:tcPr>
            <w:tcW w:w="1358" w:type="dxa"/>
            <w:shd w:val="clear" w:color="auto" w:fill="auto"/>
            <w:noWrap/>
            <w:vAlign w:val="center"/>
          </w:tcPr>
          <w:p>
            <w:pPr>
              <w:widowControl/>
              <w:jc w:val="center"/>
              <w:rPr>
                <w:kern w:val="0"/>
                <w:sz w:val="24"/>
              </w:rPr>
            </w:pPr>
            <w:r>
              <w:rPr>
                <w:kern w:val="0"/>
                <w:sz w:val="24"/>
              </w:rPr>
              <w:t>泗县</w:t>
            </w:r>
          </w:p>
        </w:tc>
        <w:tc>
          <w:tcPr>
            <w:tcW w:w="1458" w:type="dxa"/>
            <w:shd w:val="clear" w:color="auto" w:fill="auto"/>
            <w:noWrap/>
            <w:vAlign w:val="center"/>
          </w:tcPr>
          <w:p>
            <w:pPr>
              <w:widowControl/>
              <w:jc w:val="center"/>
              <w:rPr>
                <w:kern w:val="0"/>
                <w:sz w:val="24"/>
              </w:rPr>
            </w:pPr>
            <w:r>
              <w:rPr>
                <w:kern w:val="0"/>
                <w:sz w:val="24"/>
              </w:rPr>
              <w:t>E117.8873</w:t>
            </w:r>
          </w:p>
        </w:tc>
        <w:tc>
          <w:tcPr>
            <w:tcW w:w="1358" w:type="dxa"/>
            <w:shd w:val="clear" w:color="auto" w:fill="auto"/>
            <w:noWrap/>
            <w:vAlign w:val="center"/>
          </w:tcPr>
          <w:p>
            <w:pPr>
              <w:widowControl/>
              <w:jc w:val="center"/>
              <w:rPr>
                <w:kern w:val="0"/>
                <w:sz w:val="24"/>
              </w:rPr>
            </w:pPr>
            <w:r>
              <w:rPr>
                <w:kern w:val="0"/>
                <w:sz w:val="24"/>
              </w:rPr>
              <w:t>N33.4844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04" w:type="dxa"/>
            <w:shd w:val="clear" w:color="auto" w:fill="auto"/>
            <w:noWrap/>
            <w:vAlign w:val="center"/>
          </w:tcPr>
          <w:p>
            <w:pPr>
              <w:widowControl/>
              <w:jc w:val="center"/>
              <w:rPr>
                <w:kern w:val="0"/>
                <w:sz w:val="24"/>
              </w:rPr>
            </w:pPr>
            <w:r>
              <w:rPr>
                <w:rFonts w:hint="eastAsia"/>
                <w:kern w:val="0"/>
                <w:sz w:val="24"/>
              </w:rPr>
              <w:t>5</w:t>
            </w:r>
          </w:p>
        </w:tc>
        <w:tc>
          <w:tcPr>
            <w:tcW w:w="2192" w:type="dxa"/>
            <w:shd w:val="clear" w:color="auto" w:fill="auto"/>
            <w:noWrap/>
            <w:vAlign w:val="center"/>
          </w:tcPr>
          <w:p>
            <w:pPr>
              <w:widowControl/>
              <w:jc w:val="center"/>
              <w:rPr>
                <w:kern w:val="0"/>
                <w:sz w:val="24"/>
              </w:rPr>
            </w:pPr>
            <w:r>
              <w:rPr>
                <w:kern w:val="0"/>
                <w:sz w:val="24"/>
              </w:rPr>
              <w:t>灵璧县奇石广场</w:t>
            </w:r>
          </w:p>
        </w:tc>
        <w:tc>
          <w:tcPr>
            <w:tcW w:w="1358" w:type="dxa"/>
            <w:shd w:val="clear" w:color="auto" w:fill="auto"/>
            <w:noWrap/>
            <w:vAlign w:val="center"/>
          </w:tcPr>
          <w:p>
            <w:pPr>
              <w:widowControl/>
              <w:jc w:val="center"/>
              <w:rPr>
                <w:kern w:val="0"/>
                <w:sz w:val="24"/>
              </w:rPr>
            </w:pPr>
            <w:r>
              <w:rPr>
                <w:kern w:val="0"/>
                <w:sz w:val="24"/>
              </w:rPr>
              <w:t>省控</w:t>
            </w:r>
          </w:p>
        </w:tc>
        <w:tc>
          <w:tcPr>
            <w:tcW w:w="1358" w:type="dxa"/>
            <w:shd w:val="clear" w:color="auto" w:fill="auto"/>
            <w:noWrap/>
            <w:vAlign w:val="center"/>
          </w:tcPr>
          <w:p>
            <w:pPr>
              <w:widowControl/>
              <w:jc w:val="center"/>
              <w:rPr>
                <w:kern w:val="0"/>
                <w:sz w:val="24"/>
              </w:rPr>
            </w:pPr>
            <w:r>
              <w:rPr>
                <w:kern w:val="0"/>
                <w:sz w:val="24"/>
              </w:rPr>
              <w:t>灵璧县</w:t>
            </w:r>
          </w:p>
        </w:tc>
        <w:tc>
          <w:tcPr>
            <w:tcW w:w="1458" w:type="dxa"/>
            <w:shd w:val="clear" w:color="auto" w:fill="auto"/>
            <w:noWrap/>
            <w:vAlign w:val="center"/>
          </w:tcPr>
          <w:p>
            <w:pPr>
              <w:widowControl/>
              <w:jc w:val="center"/>
              <w:rPr>
                <w:kern w:val="0"/>
                <w:sz w:val="24"/>
              </w:rPr>
            </w:pPr>
            <w:r>
              <w:rPr>
                <w:kern w:val="0"/>
                <w:sz w:val="24"/>
              </w:rPr>
              <w:t>E117.5386</w:t>
            </w:r>
          </w:p>
        </w:tc>
        <w:tc>
          <w:tcPr>
            <w:tcW w:w="1358" w:type="dxa"/>
            <w:shd w:val="clear" w:color="auto" w:fill="auto"/>
            <w:noWrap/>
            <w:vAlign w:val="center"/>
          </w:tcPr>
          <w:p>
            <w:pPr>
              <w:widowControl/>
              <w:jc w:val="center"/>
              <w:rPr>
                <w:kern w:val="0"/>
                <w:sz w:val="24"/>
              </w:rPr>
            </w:pPr>
            <w:r>
              <w:rPr>
                <w:kern w:val="0"/>
                <w:sz w:val="24"/>
              </w:rPr>
              <w:t>N33.5325</w:t>
            </w:r>
          </w:p>
        </w:tc>
      </w:tr>
    </w:tbl>
    <w:p>
      <w:pPr>
        <w:ind w:firstLine="480" w:firstLineChars="200"/>
        <w:rPr>
          <w:rFonts w:eastAsiaTheme="minorEastAsia"/>
          <w:sz w:val="24"/>
        </w:rPr>
      </w:pPr>
    </w:p>
    <w:p>
      <w:pPr>
        <w:spacing w:line="480" w:lineRule="auto"/>
        <w:jc w:val="center"/>
        <w:rPr>
          <w:rFonts w:eastAsiaTheme="minorEastAsia"/>
          <w:sz w:val="28"/>
          <w:szCs w:val="28"/>
        </w:rPr>
      </w:pPr>
      <w:r>
        <w:rPr>
          <w:rFonts w:eastAsiaTheme="minorEastAsia"/>
          <w:sz w:val="28"/>
          <w:szCs w:val="28"/>
        </w:rPr>
        <w:drawing>
          <wp:inline distT="0" distB="0" distL="0" distR="0">
            <wp:extent cx="5267325" cy="3305175"/>
            <wp:effectExtent l="0" t="0" r="9525" b="952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68790" cy="3306094"/>
                    </a:xfrm>
                    <a:prstGeom prst="rect">
                      <a:avLst/>
                    </a:prstGeom>
                    <a:noFill/>
                    <a:ln>
                      <a:noFill/>
                    </a:ln>
                  </pic:spPr>
                </pic:pic>
              </a:graphicData>
            </a:graphic>
          </wp:inline>
        </w:drawing>
      </w:r>
    </w:p>
    <w:p>
      <w:pPr>
        <w:spacing w:line="480" w:lineRule="auto"/>
        <w:jc w:val="center"/>
        <w:rPr>
          <w:b/>
          <w:kern w:val="0"/>
          <w:sz w:val="24"/>
        </w:rPr>
      </w:pPr>
      <w:r>
        <w:rPr>
          <w:b/>
          <w:color w:val="000000" w:themeColor="text1"/>
          <w:kern w:val="0"/>
          <w:sz w:val="24"/>
          <w14:textFill>
            <w14:solidFill>
              <w14:schemeClr w14:val="tx1"/>
            </w14:solidFill>
          </w14:textFill>
        </w:rPr>
        <w:t>图2-</w:t>
      </w:r>
      <w:r>
        <w:rPr>
          <w:rFonts w:hint="eastAsia"/>
          <w:b/>
          <w:color w:val="000000" w:themeColor="text1"/>
          <w:kern w:val="0"/>
          <w:sz w:val="24"/>
          <w14:textFill>
            <w14:solidFill>
              <w14:schemeClr w14:val="tx1"/>
            </w14:solidFill>
          </w14:textFill>
        </w:rPr>
        <w:t>5</w:t>
      </w:r>
      <w:r>
        <w:rPr>
          <w:b/>
          <w:color w:val="000000" w:themeColor="text1"/>
          <w:kern w:val="0"/>
          <w:sz w:val="24"/>
          <w14:textFill>
            <w14:solidFill>
              <w14:schemeClr w14:val="tx1"/>
            </w14:solidFill>
          </w14:textFill>
        </w:rPr>
        <w:t xml:space="preserve"> </w:t>
      </w:r>
      <w:r>
        <w:rPr>
          <w:rFonts w:hint="eastAsia"/>
          <w:b/>
          <w:color w:val="000000" w:themeColor="text1"/>
          <w:kern w:val="0"/>
          <w:sz w:val="24"/>
          <w14:textFill>
            <w14:solidFill>
              <w14:schemeClr w14:val="tx1"/>
            </w14:solidFill>
          </w14:textFill>
        </w:rPr>
        <w:t xml:space="preserve"> </w:t>
      </w:r>
      <w:r>
        <w:rPr>
          <w:b/>
          <w:kern w:val="0"/>
          <w:sz w:val="24"/>
        </w:rPr>
        <w:t>宿州市空气质量监控点位分布图</w:t>
      </w:r>
    </w:p>
    <w:p>
      <w:pPr>
        <w:spacing w:line="360" w:lineRule="auto"/>
        <w:ind w:firstLine="562" w:firstLineChars="200"/>
        <w:rPr>
          <w:rFonts w:eastAsiaTheme="minorEastAsia"/>
          <w:b/>
          <w:bCs/>
          <w:sz w:val="28"/>
          <w:szCs w:val="21"/>
        </w:rPr>
      </w:pPr>
      <w:r>
        <w:rPr>
          <w:rFonts w:eastAsiaTheme="minorEastAsia"/>
          <w:b/>
          <w:bCs/>
          <w:sz w:val="28"/>
          <w:szCs w:val="21"/>
        </w:rPr>
        <w:t>（1）主城区空气质量</w:t>
      </w:r>
      <w:r>
        <w:rPr>
          <w:rFonts w:hint="eastAsia" w:eastAsiaTheme="minorEastAsia"/>
          <w:b/>
          <w:bCs/>
          <w:sz w:val="28"/>
          <w:szCs w:val="21"/>
        </w:rPr>
        <w:t>状</w:t>
      </w:r>
      <w:r>
        <w:rPr>
          <w:rFonts w:eastAsiaTheme="minorEastAsia"/>
          <w:b/>
          <w:bCs/>
          <w:sz w:val="28"/>
          <w:szCs w:val="21"/>
        </w:rPr>
        <w:t>况</w:t>
      </w:r>
    </w:p>
    <w:p>
      <w:pPr>
        <w:spacing w:line="360" w:lineRule="auto"/>
        <w:ind w:firstLine="562" w:firstLineChars="200"/>
        <w:rPr>
          <w:rFonts w:eastAsiaTheme="minorEastAsia"/>
          <w:b/>
          <w:bCs/>
          <w:sz w:val="28"/>
          <w:szCs w:val="21"/>
        </w:rPr>
      </w:pPr>
      <w:r>
        <w:rPr>
          <w:rFonts w:eastAsiaTheme="minorEastAsia"/>
          <w:b/>
          <w:bCs/>
          <w:iCs/>
          <w:sz w:val="28"/>
          <w:szCs w:val="21"/>
        </w:rPr>
        <w:t>空气质量整体改善</w:t>
      </w:r>
      <w:r>
        <w:rPr>
          <w:rFonts w:eastAsiaTheme="minorEastAsia"/>
          <w:sz w:val="28"/>
          <w:szCs w:val="21"/>
        </w:rPr>
        <w:t>。从污染物年度变化趋势（图2-</w:t>
      </w:r>
      <w:r>
        <w:rPr>
          <w:rFonts w:hint="eastAsia" w:eastAsiaTheme="minorEastAsia"/>
          <w:sz w:val="28"/>
          <w:szCs w:val="21"/>
        </w:rPr>
        <w:t>6</w:t>
      </w:r>
      <w:r>
        <w:rPr>
          <w:rFonts w:eastAsiaTheme="minorEastAsia"/>
          <w:sz w:val="28"/>
          <w:szCs w:val="21"/>
        </w:rPr>
        <w:t>）看，2015年以来，SO</w:t>
      </w:r>
      <w:r>
        <w:rPr>
          <w:rFonts w:eastAsiaTheme="minorEastAsia"/>
          <w:sz w:val="28"/>
          <w:szCs w:val="21"/>
          <w:vertAlign w:val="subscript"/>
        </w:rPr>
        <w:t>2</w:t>
      </w:r>
      <w:r>
        <w:rPr>
          <w:rFonts w:eastAsiaTheme="minorEastAsia"/>
          <w:sz w:val="28"/>
          <w:szCs w:val="21"/>
        </w:rPr>
        <w:t>浓度近年来总体呈明显下降趋势，和2015年相比，</w:t>
      </w:r>
      <w:r>
        <w:rPr>
          <w:rFonts w:hint="eastAsia" w:eastAsiaTheme="minorEastAsia"/>
          <w:sz w:val="28"/>
          <w:szCs w:val="21"/>
        </w:rPr>
        <w:t>2020年</w:t>
      </w:r>
      <w:r>
        <w:rPr>
          <w:rFonts w:eastAsiaTheme="minorEastAsia"/>
          <w:sz w:val="28"/>
          <w:szCs w:val="21"/>
        </w:rPr>
        <w:t>SO</w:t>
      </w:r>
      <w:r>
        <w:rPr>
          <w:rFonts w:eastAsiaTheme="minorEastAsia"/>
          <w:sz w:val="28"/>
          <w:szCs w:val="21"/>
          <w:vertAlign w:val="subscript"/>
        </w:rPr>
        <w:t>2</w:t>
      </w:r>
      <w:r>
        <w:rPr>
          <w:rFonts w:eastAsiaTheme="minorEastAsia"/>
          <w:sz w:val="28"/>
          <w:szCs w:val="21"/>
        </w:rPr>
        <w:t>浓度下降了6</w:t>
      </w:r>
      <w:r>
        <w:rPr>
          <w:rFonts w:hint="eastAsia" w:eastAsiaTheme="minorEastAsia"/>
          <w:sz w:val="28"/>
          <w:szCs w:val="21"/>
        </w:rPr>
        <w:t>3</w:t>
      </w:r>
      <w:r>
        <w:rPr>
          <w:rFonts w:eastAsiaTheme="minorEastAsia"/>
          <w:sz w:val="28"/>
          <w:szCs w:val="21"/>
        </w:rPr>
        <w:t>.</w:t>
      </w:r>
      <w:r>
        <w:rPr>
          <w:rFonts w:hint="eastAsia" w:eastAsiaTheme="minorEastAsia"/>
          <w:sz w:val="28"/>
          <w:szCs w:val="21"/>
        </w:rPr>
        <w:t>6</w:t>
      </w:r>
      <w:r>
        <w:rPr>
          <w:rFonts w:eastAsiaTheme="minorEastAsia"/>
          <w:sz w:val="28"/>
          <w:szCs w:val="21"/>
        </w:rPr>
        <w:t>%。NO</w:t>
      </w:r>
      <w:r>
        <w:rPr>
          <w:rFonts w:eastAsiaTheme="minorEastAsia"/>
          <w:sz w:val="28"/>
          <w:szCs w:val="21"/>
          <w:vertAlign w:val="subscript"/>
        </w:rPr>
        <w:t>2</w:t>
      </w:r>
      <w:r>
        <w:rPr>
          <w:rFonts w:eastAsiaTheme="minorEastAsia"/>
          <w:sz w:val="28"/>
          <w:szCs w:val="21"/>
        </w:rPr>
        <w:t>、PM</w:t>
      </w:r>
      <w:r>
        <w:rPr>
          <w:rFonts w:eastAsiaTheme="minorEastAsia"/>
          <w:sz w:val="28"/>
          <w:szCs w:val="21"/>
          <w:vertAlign w:val="subscript"/>
        </w:rPr>
        <w:t>2.5</w:t>
      </w:r>
      <w:r>
        <w:rPr>
          <w:rFonts w:eastAsiaTheme="minorEastAsia"/>
          <w:sz w:val="28"/>
          <w:szCs w:val="21"/>
        </w:rPr>
        <w:t>、CO浓度呈波动变化趋势，近两年来</w:t>
      </w:r>
      <w:r>
        <w:rPr>
          <w:rFonts w:hint="eastAsia" w:eastAsiaTheme="minorEastAsia"/>
          <w:sz w:val="28"/>
          <w:szCs w:val="21"/>
        </w:rPr>
        <w:t>基本</w:t>
      </w:r>
      <w:r>
        <w:rPr>
          <w:rFonts w:eastAsiaTheme="minorEastAsia"/>
          <w:sz w:val="28"/>
          <w:szCs w:val="21"/>
        </w:rPr>
        <w:t>呈现下降趋势，但是和2015年相比，PM</w:t>
      </w:r>
      <w:r>
        <w:rPr>
          <w:rFonts w:eastAsiaTheme="minorEastAsia"/>
          <w:sz w:val="28"/>
          <w:szCs w:val="21"/>
          <w:vertAlign w:val="subscript"/>
        </w:rPr>
        <w:t>10</w:t>
      </w:r>
      <w:r>
        <w:rPr>
          <w:rFonts w:eastAsiaTheme="minorEastAsia"/>
          <w:sz w:val="28"/>
          <w:szCs w:val="21"/>
        </w:rPr>
        <w:t>年均浓度总体呈现上升趋势，超标率由</w:t>
      </w:r>
      <w:r>
        <w:rPr>
          <w:rFonts w:hint="eastAsia" w:eastAsiaTheme="minorEastAsia"/>
          <w:sz w:val="28"/>
          <w:szCs w:val="21"/>
        </w:rPr>
        <w:t>15.7</w:t>
      </w:r>
      <w:r>
        <w:rPr>
          <w:rFonts w:eastAsiaTheme="minorEastAsia"/>
          <w:sz w:val="28"/>
          <w:szCs w:val="21"/>
        </w:rPr>
        <w:t>%升至24.7%；NO</w:t>
      </w:r>
      <w:r>
        <w:rPr>
          <w:rFonts w:eastAsiaTheme="minorEastAsia"/>
          <w:sz w:val="28"/>
          <w:szCs w:val="21"/>
          <w:vertAlign w:val="subscript"/>
        </w:rPr>
        <w:t>2</w:t>
      </w:r>
      <w:r>
        <w:rPr>
          <w:rFonts w:eastAsiaTheme="minorEastAsia"/>
          <w:sz w:val="28"/>
          <w:szCs w:val="21"/>
        </w:rPr>
        <w:t>年均浓度和2015年相比基本持平；PM</w:t>
      </w:r>
      <w:r>
        <w:rPr>
          <w:rFonts w:eastAsiaTheme="minorEastAsia"/>
          <w:sz w:val="28"/>
          <w:szCs w:val="21"/>
          <w:vertAlign w:val="subscript"/>
        </w:rPr>
        <w:t>2.5</w:t>
      </w:r>
      <w:r>
        <w:rPr>
          <w:rFonts w:eastAsiaTheme="minorEastAsia"/>
          <w:sz w:val="28"/>
          <w:szCs w:val="21"/>
        </w:rPr>
        <w:t>和CO浓度呈现下降趋势，PM</w:t>
      </w:r>
      <w:r>
        <w:rPr>
          <w:rFonts w:eastAsiaTheme="minorEastAsia"/>
          <w:sz w:val="28"/>
          <w:szCs w:val="21"/>
          <w:vertAlign w:val="subscript"/>
        </w:rPr>
        <w:t>2.5</w:t>
      </w:r>
      <w:r>
        <w:rPr>
          <w:rFonts w:eastAsiaTheme="minorEastAsia"/>
          <w:sz w:val="28"/>
          <w:szCs w:val="21"/>
        </w:rPr>
        <w:t>超标率由2015年的</w:t>
      </w:r>
      <w:r>
        <w:rPr>
          <w:rFonts w:hint="eastAsia" w:eastAsiaTheme="minorEastAsia"/>
          <w:sz w:val="28"/>
          <w:szCs w:val="21"/>
        </w:rPr>
        <w:t>71</w:t>
      </w:r>
      <w:r>
        <w:rPr>
          <w:rFonts w:eastAsiaTheme="minorEastAsia"/>
          <w:sz w:val="28"/>
          <w:szCs w:val="21"/>
        </w:rPr>
        <w:t>.4%降至</w:t>
      </w:r>
      <w:r>
        <w:rPr>
          <w:rFonts w:hint="eastAsia" w:eastAsiaTheme="minorEastAsia"/>
          <w:sz w:val="28"/>
          <w:szCs w:val="21"/>
        </w:rPr>
        <w:t>34.3</w:t>
      </w:r>
      <w:r>
        <w:rPr>
          <w:rFonts w:eastAsiaTheme="minorEastAsia"/>
          <w:sz w:val="28"/>
          <w:szCs w:val="21"/>
        </w:rPr>
        <w:t>%，CO浓度较低，均未出现超标现象。O</w:t>
      </w:r>
      <w:r>
        <w:rPr>
          <w:rFonts w:eastAsiaTheme="minorEastAsia"/>
          <w:sz w:val="28"/>
          <w:szCs w:val="21"/>
          <w:vertAlign w:val="subscript"/>
        </w:rPr>
        <w:t>3</w:t>
      </w:r>
      <w:r>
        <w:rPr>
          <w:rFonts w:eastAsiaTheme="minorEastAsia"/>
          <w:sz w:val="28"/>
          <w:szCs w:val="21"/>
        </w:rPr>
        <w:t>自2015年以来逐年上升，</w:t>
      </w:r>
      <w:r>
        <w:rPr>
          <w:rFonts w:hint="eastAsia" w:eastAsiaTheme="minorEastAsia"/>
          <w:sz w:val="28"/>
          <w:szCs w:val="21"/>
        </w:rPr>
        <w:t>其中2017-2019年超过</w:t>
      </w:r>
      <w:r>
        <w:rPr>
          <w:rFonts w:eastAsiaTheme="minorEastAsia"/>
          <w:sz w:val="28"/>
          <w:szCs w:val="21"/>
        </w:rPr>
        <w:t>环境空气质量二级标准。</w:t>
      </w:r>
    </w:p>
    <w:p>
      <w:pPr>
        <w:spacing w:line="360" w:lineRule="auto"/>
        <w:jc w:val="center"/>
        <w:rPr>
          <w:rFonts w:eastAsia="仿宋"/>
          <w:b/>
          <w:bCs/>
          <w:sz w:val="28"/>
          <w:szCs w:val="21"/>
        </w:rPr>
      </w:pPr>
      <w:r>
        <w:drawing>
          <wp:inline distT="0" distB="0" distL="0" distR="0">
            <wp:extent cx="4859655" cy="3059430"/>
            <wp:effectExtent l="0" t="0" r="17145" b="26670"/>
            <wp:docPr id="46" name="图表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pPr>
        <w:spacing w:line="480" w:lineRule="auto"/>
        <w:jc w:val="center"/>
        <w:rPr>
          <w:b/>
          <w:color w:val="000000" w:themeColor="text1"/>
          <w:kern w:val="0"/>
          <w:sz w:val="24"/>
          <w14:textFill>
            <w14:solidFill>
              <w14:schemeClr w14:val="tx1"/>
            </w14:solidFill>
          </w14:textFill>
        </w:rPr>
      </w:pPr>
      <w:r>
        <w:rPr>
          <w:b/>
          <w:color w:val="000000" w:themeColor="text1"/>
          <w:kern w:val="0"/>
          <w:sz w:val="24"/>
          <w14:textFill>
            <w14:solidFill>
              <w14:schemeClr w14:val="tx1"/>
            </w14:solidFill>
          </w14:textFill>
        </w:rPr>
        <w:t>图</w:t>
      </w:r>
      <w:r>
        <w:rPr>
          <w:rFonts w:hint="eastAsia"/>
          <w:b/>
          <w:color w:val="000000" w:themeColor="text1"/>
          <w:kern w:val="0"/>
          <w:sz w:val="24"/>
          <w14:textFill>
            <w14:solidFill>
              <w14:schemeClr w14:val="tx1"/>
            </w14:solidFill>
          </w14:textFill>
        </w:rPr>
        <w:t>2-6</w:t>
      </w:r>
      <w:r>
        <w:rPr>
          <w:b/>
          <w:color w:val="000000" w:themeColor="text1"/>
          <w:kern w:val="0"/>
          <w:sz w:val="24"/>
          <w14:textFill>
            <w14:solidFill>
              <w14:schemeClr w14:val="tx1"/>
            </w14:solidFill>
          </w14:textFill>
        </w:rPr>
        <w:t xml:space="preserve">  2015-20</w:t>
      </w:r>
      <w:r>
        <w:rPr>
          <w:rFonts w:hint="eastAsia"/>
          <w:b/>
          <w:color w:val="000000" w:themeColor="text1"/>
          <w:kern w:val="0"/>
          <w:sz w:val="24"/>
          <w14:textFill>
            <w14:solidFill>
              <w14:schemeClr w14:val="tx1"/>
            </w14:solidFill>
          </w14:textFill>
        </w:rPr>
        <w:t>20</w:t>
      </w:r>
      <w:r>
        <w:rPr>
          <w:b/>
          <w:color w:val="000000" w:themeColor="text1"/>
          <w:kern w:val="0"/>
          <w:sz w:val="24"/>
          <w14:textFill>
            <w14:solidFill>
              <w14:schemeClr w14:val="tx1"/>
            </w14:solidFill>
          </w14:textFill>
        </w:rPr>
        <w:t>年主城区大气环境质量变化趋势</w:t>
      </w:r>
    </w:p>
    <w:p>
      <w:pPr>
        <w:jc w:val="center"/>
        <w:rPr>
          <w:b/>
          <w:color w:val="000000" w:themeColor="text1"/>
          <w:kern w:val="0"/>
          <w:szCs w:val="21"/>
          <w14:textFill>
            <w14:solidFill>
              <w14:schemeClr w14:val="tx1"/>
            </w14:solidFill>
          </w14:textFill>
        </w:rPr>
      </w:pPr>
    </w:p>
    <w:p>
      <w:pPr>
        <w:spacing w:line="360" w:lineRule="auto"/>
        <w:ind w:firstLine="562" w:firstLineChars="200"/>
        <w:jc w:val="left"/>
        <w:rPr>
          <w:sz w:val="28"/>
          <w:szCs w:val="21"/>
        </w:rPr>
      </w:pPr>
      <w:r>
        <w:rPr>
          <w:b/>
          <w:bCs/>
          <w:sz w:val="28"/>
          <w:szCs w:val="21"/>
        </w:rPr>
        <w:t>以颗粒物和臭氧为代表的大气复合型污染特征日渐显著</w:t>
      </w:r>
      <w:r>
        <w:rPr>
          <w:sz w:val="28"/>
          <w:szCs w:val="21"/>
        </w:rPr>
        <w:t>。颗粒物超标仍为空气质量首要问题，表现在PM</w:t>
      </w:r>
      <w:r>
        <w:rPr>
          <w:sz w:val="28"/>
          <w:szCs w:val="21"/>
          <w:vertAlign w:val="subscript"/>
        </w:rPr>
        <w:t>10</w:t>
      </w:r>
      <w:r>
        <w:rPr>
          <w:sz w:val="28"/>
          <w:szCs w:val="21"/>
        </w:rPr>
        <w:t>、PM</w:t>
      </w:r>
      <w:r>
        <w:rPr>
          <w:sz w:val="28"/>
          <w:szCs w:val="21"/>
          <w:vertAlign w:val="subscript"/>
        </w:rPr>
        <w:t>2.5</w:t>
      </w:r>
      <w:r>
        <w:rPr>
          <w:sz w:val="28"/>
          <w:szCs w:val="21"/>
        </w:rPr>
        <w:t>年均浓度持续超标。2018年主城区PM</w:t>
      </w:r>
      <w:r>
        <w:rPr>
          <w:sz w:val="28"/>
          <w:szCs w:val="21"/>
          <w:vertAlign w:val="subscript"/>
        </w:rPr>
        <w:t>2.5</w:t>
      </w:r>
      <w:r>
        <w:rPr>
          <w:sz w:val="28"/>
          <w:szCs w:val="21"/>
        </w:rPr>
        <w:t>日均浓度超出国家二级标准天数达到74天，超标率20.3%，最大超标倍数1.7倍左右；PM</w:t>
      </w:r>
      <w:r>
        <w:rPr>
          <w:sz w:val="28"/>
          <w:szCs w:val="21"/>
          <w:vertAlign w:val="subscript"/>
        </w:rPr>
        <w:t>10</w:t>
      </w:r>
      <w:r>
        <w:rPr>
          <w:sz w:val="28"/>
          <w:szCs w:val="21"/>
        </w:rPr>
        <w:t>日均浓度超出国家二级标准天数为40天，超标率11.0%，最大超标倍数0.77倍。2019年，PM</w:t>
      </w:r>
      <w:r>
        <w:rPr>
          <w:sz w:val="28"/>
          <w:szCs w:val="21"/>
          <w:vertAlign w:val="subscript"/>
        </w:rPr>
        <w:t>2.5</w:t>
      </w:r>
      <w:r>
        <w:rPr>
          <w:sz w:val="28"/>
          <w:szCs w:val="21"/>
        </w:rPr>
        <w:t>虽然有所改善，但依然未达到国家二级空气质量标准，PM</w:t>
      </w:r>
      <w:r>
        <w:rPr>
          <w:sz w:val="28"/>
          <w:szCs w:val="21"/>
          <w:vertAlign w:val="subscript"/>
        </w:rPr>
        <w:t>10</w:t>
      </w:r>
      <w:r>
        <w:rPr>
          <w:sz w:val="28"/>
          <w:szCs w:val="21"/>
        </w:rPr>
        <w:t>与2018年基本持平，依然处于超标状态</w:t>
      </w:r>
      <w:r>
        <w:rPr>
          <w:rFonts w:hint="eastAsia"/>
          <w:sz w:val="28"/>
          <w:szCs w:val="21"/>
        </w:rPr>
        <w:t>，</w:t>
      </w:r>
      <w:r>
        <w:rPr>
          <w:sz w:val="28"/>
          <w:szCs w:val="21"/>
        </w:rPr>
        <w:t>2019年主城区PM</w:t>
      </w:r>
      <w:r>
        <w:rPr>
          <w:sz w:val="28"/>
          <w:szCs w:val="21"/>
          <w:vertAlign w:val="subscript"/>
        </w:rPr>
        <w:t>2.5</w:t>
      </w:r>
      <w:r>
        <w:rPr>
          <w:sz w:val="28"/>
          <w:szCs w:val="21"/>
        </w:rPr>
        <w:t>日均浓度超出国家二级标准天数为72天，PM</w:t>
      </w:r>
      <w:r>
        <w:rPr>
          <w:sz w:val="28"/>
          <w:szCs w:val="21"/>
          <w:vertAlign w:val="subscript"/>
        </w:rPr>
        <w:t>10</w:t>
      </w:r>
      <w:r>
        <w:rPr>
          <w:sz w:val="28"/>
          <w:szCs w:val="21"/>
        </w:rPr>
        <w:t>日均浓度超出国家二级标准天数为39天，超标率分别为19.7%和10.7%。O</w:t>
      </w:r>
      <w:r>
        <w:rPr>
          <w:sz w:val="28"/>
          <w:szCs w:val="21"/>
          <w:vertAlign w:val="subscript"/>
        </w:rPr>
        <w:t>3</w:t>
      </w:r>
      <w:r>
        <w:rPr>
          <w:sz w:val="28"/>
          <w:szCs w:val="21"/>
        </w:rPr>
        <w:t>环境问题逐渐凸显，体现在年均浓度逐年增加，超标天数增多，极值浓度升高。自2015年开始，O</w:t>
      </w:r>
      <w:r>
        <w:rPr>
          <w:sz w:val="28"/>
          <w:szCs w:val="21"/>
          <w:vertAlign w:val="subscript"/>
        </w:rPr>
        <w:t>3</w:t>
      </w:r>
      <w:r>
        <w:rPr>
          <w:sz w:val="28"/>
          <w:szCs w:val="21"/>
        </w:rPr>
        <w:t>年均浓度持续增长。2018年，O</w:t>
      </w:r>
      <w:r>
        <w:rPr>
          <w:sz w:val="28"/>
          <w:szCs w:val="21"/>
          <w:vertAlign w:val="subscript"/>
        </w:rPr>
        <w:t>3</w:t>
      </w:r>
      <w:r>
        <w:rPr>
          <w:sz w:val="28"/>
          <w:szCs w:val="21"/>
        </w:rPr>
        <w:t>日最大8小时平均超出国家二级标准天数为43天，超标率为11.8%。O</w:t>
      </w:r>
      <w:r>
        <w:rPr>
          <w:sz w:val="28"/>
          <w:szCs w:val="21"/>
          <w:vertAlign w:val="subscript"/>
        </w:rPr>
        <w:t>3</w:t>
      </w:r>
      <w:r>
        <w:rPr>
          <w:sz w:val="28"/>
          <w:szCs w:val="21"/>
        </w:rPr>
        <w:t>的日均值极值浓度从2015年的131</w:t>
      </w:r>
      <w:r>
        <w:rPr>
          <w:rFonts w:hint="eastAsia"/>
          <w:sz w:val="28"/>
          <w:szCs w:val="21"/>
        </w:rPr>
        <w:t xml:space="preserve"> </w:t>
      </w:r>
      <w:r>
        <w:rPr>
          <w:sz w:val="28"/>
          <w:szCs w:val="21"/>
        </w:rPr>
        <w:t>μg/m</w:t>
      </w:r>
      <w:r>
        <w:rPr>
          <w:sz w:val="28"/>
          <w:szCs w:val="21"/>
          <w:vertAlign w:val="superscript"/>
        </w:rPr>
        <w:t xml:space="preserve">3 </w:t>
      </w:r>
      <w:r>
        <w:rPr>
          <w:sz w:val="28"/>
          <w:szCs w:val="21"/>
        </w:rPr>
        <w:t>增长到2018年的249</w:t>
      </w:r>
      <w:r>
        <w:rPr>
          <w:rFonts w:hint="eastAsia"/>
          <w:sz w:val="28"/>
          <w:szCs w:val="21"/>
        </w:rPr>
        <w:t xml:space="preserve"> </w:t>
      </w:r>
      <w:r>
        <w:rPr>
          <w:sz w:val="28"/>
          <w:szCs w:val="21"/>
        </w:rPr>
        <w:t>μg/m</w:t>
      </w:r>
      <w:r>
        <w:rPr>
          <w:sz w:val="28"/>
          <w:szCs w:val="21"/>
          <w:vertAlign w:val="superscript"/>
        </w:rPr>
        <w:t>3</w:t>
      </w:r>
      <w:r>
        <w:rPr>
          <w:sz w:val="28"/>
          <w:szCs w:val="21"/>
        </w:rPr>
        <w:t>，O</w:t>
      </w:r>
      <w:r>
        <w:rPr>
          <w:sz w:val="28"/>
          <w:szCs w:val="21"/>
          <w:vertAlign w:val="subscript"/>
        </w:rPr>
        <w:t>3</w:t>
      </w:r>
      <w:r>
        <w:rPr>
          <w:sz w:val="28"/>
          <w:szCs w:val="21"/>
        </w:rPr>
        <w:t>的日均值增长迅速。</w:t>
      </w:r>
    </w:p>
    <w:p>
      <w:pPr>
        <w:spacing w:line="360" w:lineRule="auto"/>
        <w:ind w:firstLine="562" w:firstLineChars="200"/>
        <w:rPr>
          <w:rFonts w:eastAsiaTheme="minorEastAsia"/>
          <w:b/>
          <w:bCs/>
          <w:sz w:val="28"/>
          <w:szCs w:val="21"/>
        </w:rPr>
      </w:pPr>
      <w:r>
        <w:rPr>
          <w:rFonts w:eastAsiaTheme="minorEastAsia"/>
          <w:b/>
          <w:bCs/>
          <w:sz w:val="28"/>
          <w:szCs w:val="21"/>
        </w:rPr>
        <w:t>（2）</w:t>
      </w:r>
      <w:r>
        <w:rPr>
          <w:rFonts w:hint="eastAsia" w:eastAsiaTheme="minorEastAsia"/>
          <w:b/>
          <w:bCs/>
          <w:sz w:val="28"/>
          <w:szCs w:val="21"/>
        </w:rPr>
        <w:t>泗县、灵璧县</w:t>
      </w:r>
      <w:r>
        <w:rPr>
          <w:rFonts w:eastAsiaTheme="minorEastAsia"/>
          <w:b/>
          <w:bCs/>
          <w:sz w:val="28"/>
          <w:szCs w:val="21"/>
        </w:rPr>
        <w:t>空气质量</w:t>
      </w:r>
      <w:r>
        <w:rPr>
          <w:rFonts w:hint="eastAsia" w:eastAsiaTheme="minorEastAsia"/>
          <w:b/>
          <w:bCs/>
          <w:sz w:val="28"/>
          <w:szCs w:val="21"/>
        </w:rPr>
        <w:t>状</w:t>
      </w:r>
      <w:r>
        <w:rPr>
          <w:rFonts w:eastAsiaTheme="minorEastAsia"/>
          <w:b/>
          <w:bCs/>
          <w:sz w:val="28"/>
          <w:szCs w:val="21"/>
        </w:rPr>
        <w:t>况</w:t>
      </w:r>
    </w:p>
    <w:p>
      <w:pPr>
        <w:spacing w:line="360" w:lineRule="auto"/>
        <w:ind w:firstLine="560" w:firstLineChars="200"/>
        <w:rPr>
          <w:rFonts w:eastAsia="仿宋"/>
          <w:sz w:val="28"/>
          <w:szCs w:val="21"/>
        </w:rPr>
      </w:pPr>
      <w:r>
        <w:rPr>
          <w:rFonts w:eastAsia="仿宋"/>
          <w:sz w:val="28"/>
          <w:szCs w:val="21"/>
        </w:rPr>
        <w:tab/>
      </w:r>
      <w:r>
        <w:rPr>
          <w:sz w:val="28"/>
          <w:szCs w:val="21"/>
        </w:rPr>
        <w:t>2017-20</w:t>
      </w:r>
      <w:r>
        <w:rPr>
          <w:rFonts w:hint="eastAsia"/>
          <w:sz w:val="28"/>
          <w:szCs w:val="21"/>
        </w:rPr>
        <w:t>20</w:t>
      </w:r>
      <w:r>
        <w:rPr>
          <w:sz w:val="28"/>
          <w:szCs w:val="21"/>
        </w:rPr>
        <w:t>年间，泗县、灵璧县</w:t>
      </w:r>
      <w:r>
        <w:rPr>
          <w:rFonts w:hint="eastAsia"/>
          <w:sz w:val="28"/>
          <w:szCs w:val="21"/>
        </w:rPr>
        <w:t>也</w:t>
      </w:r>
      <w:r>
        <w:rPr>
          <w:sz w:val="28"/>
          <w:szCs w:val="21"/>
        </w:rPr>
        <w:t>开展了监测工作，监测指标为6项，分别为SO</w:t>
      </w:r>
      <w:r>
        <w:rPr>
          <w:sz w:val="28"/>
          <w:szCs w:val="21"/>
          <w:vertAlign w:val="subscript"/>
        </w:rPr>
        <w:t>2</w:t>
      </w:r>
      <w:r>
        <w:rPr>
          <w:sz w:val="28"/>
          <w:szCs w:val="21"/>
        </w:rPr>
        <w:t>、NO</w:t>
      </w:r>
      <w:r>
        <w:rPr>
          <w:sz w:val="28"/>
          <w:szCs w:val="21"/>
          <w:vertAlign w:val="subscript"/>
        </w:rPr>
        <w:t>2</w:t>
      </w:r>
      <w:r>
        <w:rPr>
          <w:sz w:val="28"/>
          <w:szCs w:val="21"/>
        </w:rPr>
        <w:t>、PM</w:t>
      </w:r>
      <w:r>
        <w:rPr>
          <w:sz w:val="28"/>
          <w:szCs w:val="21"/>
          <w:vertAlign w:val="subscript"/>
        </w:rPr>
        <w:t>10</w:t>
      </w:r>
      <w:r>
        <w:rPr>
          <w:sz w:val="28"/>
          <w:szCs w:val="21"/>
        </w:rPr>
        <w:t>、CO、O</w:t>
      </w:r>
      <w:r>
        <w:rPr>
          <w:sz w:val="28"/>
          <w:szCs w:val="21"/>
          <w:vertAlign w:val="subscript"/>
        </w:rPr>
        <w:t>3</w:t>
      </w:r>
      <w:r>
        <w:rPr>
          <w:sz w:val="28"/>
          <w:szCs w:val="21"/>
        </w:rPr>
        <w:t>和PM</w:t>
      </w:r>
      <w:r>
        <w:rPr>
          <w:sz w:val="28"/>
          <w:szCs w:val="21"/>
          <w:vertAlign w:val="subscript"/>
        </w:rPr>
        <w:t>2.5</w:t>
      </w:r>
      <w:r>
        <w:rPr>
          <w:rFonts w:hint="eastAsia"/>
          <w:sz w:val="28"/>
          <w:szCs w:val="21"/>
        </w:rPr>
        <w:t>，</w:t>
      </w:r>
      <w:r>
        <w:rPr>
          <w:sz w:val="28"/>
          <w:szCs w:val="21"/>
        </w:rPr>
        <w:t>监测频率每日一次，监测结果如表</w:t>
      </w:r>
      <w:r>
        <w:rPr>
          <w:rFonts w:hint="eastAsia"/>
          <w:sz w:val="28"/>
          <w:szCs w:val="21"/>
        </w:rPr>
        <w:t>2-10</w:t>
      </w:r>
      <w:r>
        <w:rPr>
          <w:sz w:val="28"/>
          <w:szCs w:val="21"/>
        </w:rPr>
        <w:t>所示。</w:t>
      </w:r>
    </w:p>
    <w:p>
      <w:pPr>
        <w:spacing w:line="480" w:lineRule="auto"/>
        <w:jc w:val="center"/>
        <w:rPr>
          <w:b/>
          <w:color w:val="000000" w:themeColor="text1"/>
          <w:kern w:val="0"/>
          <w:sz w:val="24"/>
          <w14:textFill>
            <w14:solidFill>
              <w14:schemeClr w14:val="tx1"/>
            </w14:solidFill>
          </w14:textFill>
        </w:rPr>
      </w:pPr>
      <w:r>
        <w:rPr>
          <w:b/>
          <w:color w:val="000000" w:themeColor="text1"/>
          <w:kern w:val="0"/>
          <w:sz w:val="24"/>
          <w14:textFill>
            <w14:solidFill>
              <w14:schemeClr w14:val="tx1"/>
            </w14:solidFill>
          </w14:textFill>
        </w:rPr>
        <w:t>表</w:t>
      </w:r>
      <w:r>
        <w:rPr>
          <w:rFonts w:hint="eastAsia"/>
          <w:b/>
          <w:color w:val="000000" w:themeColor="text1"/>
          <w:kern w:val="0"/>
          <w:sz w:val="24"/>
          <w14:textFill>
            <w14:solidFill>
              <w14:schemeClr w14:val="tx1"/>
            </w14:solidFill>
          </w14:textFill>
        </w:rPr>
        <w:t xml:space="preserve">2-10 </w:t>
      </w:r>
      <w:r>
        <w:rPr>
          <w:b/>
          <w:color w:val="000000" w:themeColor="text1"/>
          <w:kern w:val="0"/>
          <w:sz w:val="24"/>
          <w14:textFill>
            <w14:solidFill>
              <w14:schemeClr w14:val="tx1"/>
            </w14:solidFill>
          </w14:textFill>
        </w:rPr>
        <w:t xml:space="preserve"> 201</w:t>
      </w:r>
      <w:r>
        <w:rPr>
          <w:rFonts w:hint="eastAsia"/>
          <w:b/>
          <w:color w:val="000000" w:themeColor="text1"/>
          <w:kern w:val="0"/>
          <w:sz w:val="24"/>
          <w14:textFill>
            <w14:solidFill>
              <w14:schemeClr w14:val="tx1"/>
            </w14:solidFill>
          </w14:textFill>
        </w:rPr>
        <w:t>7</w:t>
      </w:r>
      <w:r>
        <w:rPr>
          <w:b/>
          <w:color w:val="000000" w:themeColor="text1"/>
          <w:kern w:val="0"/>
          <w:sz w:val="24"/>
          <w14:textFill>
            <w14:solidFill>
              <w14:schemeClr w14:val="tx1"/>
            </w14:solidFill>
          </w14:textFill>
        </w:rPr>
        <w:t>-20</w:t>
      </w:r>
      <w:r>
        <w:rPr>
          <w:rFonts w:hint="eastAsia"/>
          <w:b/>
          <w:color w:val="000000" w:themeColor="text1"/>
          <w:kern w:val="0"/>
          <w:sz w:val="24"/>
          <w14:textFill>
            <w14:solidFill>
              <w14:schemeClr w14:val="tx1"/>
            </w14:solidFill>
          </w14:textFill>
        </w:rPr>
        <w:t>20</w:t>
      </w:r>
      <w:r>
        <w:rPr>
          <w:b/>
          <w:color w:val="000000" w:themeColor="text1"/>
          <w:kern w:val="0"/>
          <w:sz w:val="24"/>
          <w14:textFill>
            <w14:solidFill>
              <w14:schemeClr w14:val="tx1"/>
            </w14:solidFill>
          </w14:textFill>
        </w:rPr>
        <w:t>年间</w:t>
      </w:r>
      <w:r>
        <w:rPr>
          <w:rFonts w:hint="eastAsia"/>
          <w:b/>
          <w:color w:val="000000" w:themeColor="text1"/>
          <w:kern w:val="0"/>
          <w:sz w:val="24"/>
          <w14:textFill>
            <w14:solidFill>
              <w14:schemeClr w14:val="tx1"/>
            </w14:solidFill>
          </w14:textFill>
        </w:rPr>
        <w:t>泗县、灵璧县</w:t>
      </w:r>
      <w:r>
        <w:rPr>
          <w:b/>
          <w:color w:val="000000" w:themeColor="text1"/>
          <w:kern w:val="0"/>
          <w:sz w:val="24"/>
          <w14:textFill>
            <w14:solidFill>
              <w14:schemeClr w14:val="tx1"/>
            </w14:solidFill>
          </w14:textFill>
        </w:rPr>
        <w:t>环境空气统计表</w:t>
      </w:r>
    </w:p>
    <w:tbl>
      <w:tblPr>
        <w:tblStyle w:val="28"/>
        <w:tblW w:w="8528" w:type="dxa"/>
        <w:tblInd w:w="0" w:type="dxa"/>
        <w:tblLayout w:type="fixed"/>
        <w:tblCellMar>
          <w:top w:w="0" w:type="dxa"/>
          <w:left w:w="108" w:type="dxa"/>
          <w:bottom w:w="0" w:type="dxa"/>
          <w:right w:w="108" w:type="dxa"/>
        </w:tblCellMar>
      </w:tblPr>
      <w:tblGrid>
        <w:gridCol w:w="2261"/>
        <w:gridCol w:w="2018"/>
        <w:gridCol w:w="2139"/>
        <w:gridCol w:w="2110"/>
      </w:tblGrid>
      <w:tr>
        <w:tblPrEx>
          <w:tblLayout w:type="fixed"/>
          <w:tblCellMar>
            <w:top w:w="0" w:type="dxa"/>
            <w:left w:w="108" w:type="dxa"/>
            <w:bottom w:w="0" w:type="dxa"/>
            <w:right w:w="108" w:type="dxa"/>
          </w:tblCellMar>
        </w:tblPrEx>
        <w:trPr>
          <w:trHeight w:val="651" w:hRule="atLeast"/>
          <w:tblHeader/>
        </w:trPr>
        <w:tc>
          <w:tcPr>
            <w:tcW w:w="2261" w:type="dxa"/>
            <w:tcBorders>
              <w:top w:val="single" w:color="auto" w:sz="8" w:space="0"/>
              <w:left w:val="single" w:color="auto" w:sz="8" w:space="0"/>
              <w:bottom w:val="single" w:color="auto" w:sz="8" w:space="0"/>
              <w:right w:val="single" w:color="auto" w:sz="8" w:space="0"/>
            </w:tcBorders>
            <w:shd w:val="clear" w:color="auto" w:fill="auto"/>
            <w:noWrap/>
            <w:vAlign w:val="center"/>
          </w:tcPr>
          <w:p>
            <w:pPr>
              <w:widowControl/>
              <w:jc w:val="center"/>
              <w:rPr>
                <w:rFonts w:ascii="宋体" w:hAnsi="宋体" w:cs="宋体"/>
                <w:b/>
                <w:bCs/>
                <w:color w:val="000000"/>
                <w:kern w:val="0"/>
                <w:sz w:val="24"/>
              </w:rPr>
            </w:pPr>
            <w:r>
              <w:rPr>
                <w:rFonts w:hint="eastAsia" w:ascii="宋体" w:hAnsi="宋体" w:cs="宋体"/>
                <w:b/>
                <w:bCs/>
                <w:color w:val="000000"/>
                <w:kern w:val="0"/>
                <w:sz w:val="24"/>
              </w:rPr>
              <w:t>项目</w:t>
            </w:r>
          </w:p>
        </w:tc>
        <w:tc>
          <w:tcPr>
            <w:tcW w:w="2018" w:type="dxa"/>
            <w:tcBorders>
              <w:top w:val="single" w:color="auto" w:sz="8" w:space="0"/>
              <w:left w:val="nil"/>
              <w:bottom w:val="single" w:color="auto" w:sz="8" w:space="0"/>
              <w:right w:val="single" w:color="auto" w:sz="8" w:space="0"/>
            </w:tcBorders>
            <w:shd w:val="clear" w:color="auto" w:fill="auto"/>
            <w:noWrap/>
            <w:vAlign w:val="center"/>
          </w:tcPr>
          <w:p>
            <w:pPr>
              <w:widowControl/>
              <w:jc w:val="center"/>
              <w:rPr>
                <w:rFonts w:ascii="宋体" w:hAnsi="宋体" w:cs="宋体"/>
                <w:b/>
                <w:bCs/>
                <w:color w:val="000000"/>
                <w:kern w:val="0"/>
                <w:sz w:val="24"/>
              </w:rPr>
            </w:pPr>
            <w:r>
              <w:rPr>
                <w:rFonts w:hint="eastAsia" w:ascii="宋体" w:hAnsi="宋体" w:cs="宋体"/>
                <w:b/>
                <w:bCs/>
                <w:color w:val="000000"/>
                <w:kern w:val="0"/>
                <w:sz w:val="24"/>
              </w:rPr>
              <w:t>年度</w:t>
            </w:r>
          </w:p>
        </w:tc>
        <w:tc>
          <w:tcPr>
            <w:tcW w:w="2139" w:type="dxa"/>
            <w:tcBorders>
              <w:top w:val="single" w:color="auto" w:sz="8" w:space="0"/>
              <w:left w:val="nil"/>
              <w:bottom w:val="single" w:color="auto" w:sz="8" w:space="0"/>
              <w:right w:val="single" w:color="auto" w:sz="8" w:space="0"/>
            </w:tcBorders>
            <w:shd w:val="clear" w:color="auto" w:fill="auto"/>
            <w:noWrap/>
            <w:vAlign w:val="center"/>
          </w:tcPr>
          <w:p>
            <w:pPr>
              <w:widowControl/>
              <w:jc w:val="center"/>
              <w:rPr>
                <w:rFonts w:ascii="宋体" w:hAnsi="宋体" w:cs="宋体"/>
                <w:b/>
                <w:bCs/>
                <w:color w:val="000000"/>
                <w:kern w:val="0"/>
                <w:sz w:val="24"/>
              </w:rPr>
            </w:pPr>
            <w:r>
              <w:rPr>
                <w:rFonts w:hint="eastAsia" w:ascii="宋体" w:hAnsi="宋体" w:cs="宋体"/>
                <w:b/>
                <w:bCs/>
                <w:color w:val="000000"/>
                <w:kern w:val="0"/>
                <w:sz w:val="24"/>
              </w:rPr>
              <w:t>泗县</w:t>
            </w:r>
          </w:p>
        </w:tc>
        <w:tc>
          <w:tcPr>
            <w:tcW w:w="2110" w:type="dxa"/>
            <w:tcBorders>
              <w:top w:val="single" w:color="auto" w:sz="8" w:space="0"/>
              <w:left w:val="nil"/>
              <w:bottom w:val="single" w:color="auto" w:sz="8" w:space="0"/>
              <w:right w:val="single" w:color="auto" w:sz="8" w:space="0"/>
            </w:tcBorders>
            <w:shd w:val="clear" w:color="auto" w:fill="auto"/>
            <w:noWrap/>
            <w:vAlign w:val="center"/>
          </w:tcPr>
          <w:p>
            <w:pPr>
              <w:widowControl/>
              <w:jc w:val="center"/>
              <w:rPr>
                <w:rFonts w:ascii="宋体" w:hAnsi="宋体" w:cs="宋体"/>
                <w:b/>
                <w:bCs/>
                <w:color w:val="000000"/>
                <w:kern w:val="0"/>
                <w:sz w:val="24"/>
              </w:rPr>
            </w:pPr>
            <w:r>
              <w:rPr>
                <w:rFonts w:hint="eastAsia" w:ascii="宋体" w:hAnsi="宋体" w:cs="宋体"/>
                <w:b/>
                <w:bCs/>
                <w:color w:val="000000"/>
                <w:kern w:val="0"/>
                <w:sz w:val="24"/>
              </w:rPr>
              <w:t>灵璧县</w:t>
            </w:r>
          </w:p>
        </w:tc>
      </w:tr>
      <w:tr>
        <w:tblPrEx>
          <w:tblLayout w:type="fixed"/>
          <w:tblCellMar>
            <w:top w:w="0" w:type="dxa"/>
            <w:left w:w="108" w:type="dxa"/>
            <w:bottom w:w="0" w:type="dxa"/>
            <w:right w:w="108" w:type="dxa"/>
          </w:tblCellMar>
        </w:tblPrEx>
        <w:trPr>
          <w:trHeight w:val="330" w:hRule="atLeast"/>
        </w:trPr>
        <w:tc>
          <w:tcPr>
            <w:tcW w:w="2261" w:type="dxa"/>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eastAsia="等线"/>
                <w:color w:val="000000"/>
                <w:kern w:val="0"/>
                <w:sz w:val="24"/>
              </w:rPr>
            </w:pPr>
            <w:r>
              <w:rPr>
                <w:rFonts w:eastAsia="等线"/>
                <w:color w:val="000000"/>
                <w:kern w:val="0"/>
                <w:sz w:val="24"/>
              </w:rPr>
              <w:t>SO</w:t>
            </w:r>
            <w:r>
              <w:rPr>
                <w:rFonts w:eastAsia="等线"/>
                <w:color w:val="000000"/>
                <w:kern w:val="0"/>
                <w:sz w:val="24"/>
                <w:vertAlign w:val="subscript"/>
              </w:rPr>
              <w:t>2</w:t>
            </w:r>
            <w:r>
              <w:rPr>
                <w:rFonts w:hint="eastAsia" w:ascii="宋体" w:hAnsi="宋体"/>
                <w:color w:val="000000"/>
                <w:kern w:val="0"/>
                <w:sz w:val="24"/>
              </w:rPr>
              <w:t>（</w:t>
            </w:r>
            <w:r>
              <w:rPr>
                <w:rFonts w:eastAsia="等线"/>
                <w:color w:val="000000"/>
                <w:kern w:val="0"/>
                <w:sz w:val="24"/>
              </w:rPr>
              <w:t>μg/m</w:t>
            </w:r>
            <w:r>
              <w:rPr>
                <w:rFonts w:eastAsia="等线"/>
                <w:color w:val="000000"/>
                <w:kern w:val="0"/>
                <w:sz w:val="24"/>
                <w:vertAlign w:val="superscript"/>
              </w:rPr>
              <w:t>3</w:t>
            </w:r>
            <w:r>
              <w:rPr>
                <w:rFonts w:hint="eastAsia" w:ascii="宋体" w:hAnsi="宋体"/>
                <w:color w:val="000000"/>
                <w:kern w:val="0"/>
                <w:sz w:val="24"/>
              </w:rPr>
              <w:t>）</w:t>
            </w: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2017</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30</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25</w:t>
            </w:r>
          </w:p>
        </w:tc>
      </w:tr>
      <w:tr>
        <w:tblPrEx>
          <w:tblLayout w:type="fixed"/>
          <w:tblCellMar>
            <w:top w:w="0" w:type="dxa"/>
            <w:left w:w="108" w:type="dxa"/>
            <w:bottom w:w="0" w:type="dxa"/>
            <w:right w:w="108" w:type="dxa"/>
          </w:tblCellMar>
        </w:tblPrEx>
        <w:trPr>
          <w:trHeight w:val="330" w:hRule="atLeast"/>
        </w:trPr>
        <w:tc>
          <w:tcPr>
            <w:tcW w:w="2261" w:type="dxa"/>
            <w:vMerge w:val="continue"/>
            <w:tcBorders>
              <w:top w:val="nil"/>
              <w:left w:val="single" w:color="auto" w:sz="8" w:space="0"/>
              <w:bottom w:val="single" w:color="000000" w:sz="8" w:space="0"/>
              <w:right w:val="single" w:color="auto" w:sz="8" w:space="0"/>
            </w:tcBorders>
            <w:vAlign w:val="center"/>
          </w:tcPr>
          <w:p>
            <w:pPr>
              <w:widowControl/>
              <w:jc w:val="left"/>
              <w:rPr>
                <w:rFonts w:eastAsia="等线"/>
                <w:color w:val="000000"/>
                <w:kern w:val="0"/>
                <w:sz w:val="24"/>
              </w:rPr>
            </w:pP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2018</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24</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9</w:t>
            </w:r>
          </w:p>
        </w:tc>
      </w:tr>
      <w:tr>
        <w:tblPrEx>
          <w:tblLayout w:type="fixed"/>
          <w:tblCellMar>
            <w:top w:w="0" w:type="dxa"/>
            <w:left w:w="108" w:type="dxa"/>
            <w:bottom w:w="0" w:type="dxa"/>
            <w:right w:w="108" w:type="dxa"/>
          </w:tblCellMar>
        </w:tblPrEx>
        <w:trPr>
          <w:trHeight w:val="330" w:hRule="atLeast"/>
        </w:trPr>
        <w:tc>
          <w:tcPr>
            <w:tcW w:w="2261" w:type="dxa"/>
            <w:vMerge w:val="continue"/>
            <w:tcBorders>
              <w:top w:val="nil"/>
              <w:left w:val="single" w:color="auto" w:sz="8" w:space="0"/>
              <w:bottom w:val="single" w:color="000000" w:sz="8" w:space="0"/>
              <w:right w:val="single" w:color="auto" w:sz="8" w:space="0"/>
            </w:tcBorders>
            <w:vAlign w:val="center"/>
          </w:tcPr>
          <w:p>
            <w:pPr>
              <w:widowControl/>
              <w:jc w:val="left"/>
              <w:rPr>
                <w:rFonts w:eastAsia="等线"/>
                <w:color w:val="000000"/>
                <w:kern w:val="0"/>
                <w:sz w:val="24"/>
              </w:rPr>
            </w:pP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2019</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13</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10</w:t>
            </w:r>
          </w:p>
        </w:tc>
      </w:tr>
      <w:tr>
        <w:tblPrEx>
          <w:tblLayout w:type="fixed"/>
          <w:tblCellMar>
            <w:top w:w="0" w:type="dxa"/>
            <w:left w:w="108" w:type="dxa"/>
            <w:bottom w:w="0" w:type="dxa"/>
            <w:right w:w="108" w:type="dxa"/>
          </w:tblCellMar>
        </w:tblPrEx>
        <w:trPr>
          <w:trHeight w:val="330" w:hRule="atLeast"/>
        </w:trPr>
        <w:tc>
          <w:tcPr>
            <w:tcW w:w="2261" w:type="dxa"/>
            <w:vMerge w:val="continue"/>
            <w:tcBorders>
              <w:top w:val="nil"/>
              <w:left w:val="single" w:color="auto" w:sz="8" w:space="0"/>
              <w:bottom w:val="single" w:color="000000" w:sz="8" w:space="0"/>
              <w:right w:val="single" w:color="auto" w:sz="8" w:space="0"/>
            </w:tcBorders>
            <w:vAlign w:val="center"/>
          </w:tcPr>
          <w:p>
            <w:pPr>
              <w:widowControl/>
              <w:jc w:val="left"/>
              <w:rPr>
                <w:rFonts w:eastAsia="等线"/>
                <w:color w:val="000000"/>
                <w:kern w:val="0"/>
                <w:sz w:val="24"/>
              </w:rPr>
            </w:pP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2020</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8</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9</w:t>
            </w:r>
          </w:p>
        </w:tc>
      </w:tr>
      <w:tr>
        <w:tblPrEx>
          <w:tblLayout w:type="fixed"/>
          <w:tblCellMar>
            <w:top w:w="0" w:type="dxa"/>
            <w:left w:w="108" w:type="dxa"/>
            <w:bottom w:w="0" w:type="dxa"/>
            <w:right w:w="108" w:type="dxa"/>
          </w:tblCellMar>
        </w:tblPrEx>
        <w:trPr>
          <w:trHeight w:val="330" w:hRule="atLeast"/>
        </w:trPr>
        <w:tc>
          <w:tcPr>
            <w:tcW w:w="2261" w:type="dxa"/>
            <w:vMerge w:val="continue"/>
            <w:tcBorders>
              <w:top w:val="nil"/>
              <w:left w:val="single" w:color="auto" w:sz="8" w:space="0"/>
              <w:bottom w:val="single" w:color="000000" w:sz="8" w:space="0"/>
              <w:right w:val="single" w:color="auto" w:sz="8" w:space="0"/>
            </w:tcBorders>
            <w:vAlign w:val="center"/>
          </w:tcPr>
          <w:p>
            <w:pPr>
              <w:widowControl/>
              <w:jc w:val="left"/>
              <w:rPr>
                <w:rFonts w:eastAsia="等线"/>
                <w:color w:val="000000"/>
                <w:kern w:val="0"/>
                <w:sz w:val="24"/>
              </w:rPr>
            </w:pP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ascii="宋体" w:hAnsi="宋体" w:cs="宋体"/>
                <w:color w:val="000000"/>
                <w:kern w:val="0"/>
                <w:sz w:val="24"/>
              </w:rPr>
            </w:pPr>
            <w:r>
              <w:rPr>
                <w:rFonts w:hint="eastAsia" w:ascii="宋体" w:hAnsi="宋体" w:cs="宋体"/>
                <w:color w:val="000000"/>
                <w:kern w:val="0"/>
                <w:sz w:val="24"/>
              </w:rPr>
              <w:t>均值</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19</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13</w:t>
            </w:r>
          </w:p>
        </w:tc>
      </w:tr>
      <w:tr>
        <w:tblPrEx>
          <w:tblLayout w:type="fixed"/>
          <w:tblCellMar>
            <w:top w:w="0" w:type="dxa"/>
            <w:left w:w="108" w:type="dxa"/>
            <w:bottom w:w="0" w:type="dxa"/>
            <w:right w:w="108" w:type="dxa"/>
          </w:tblCellMar>
        </w:tblPrEx>
        <w:trPr>
          <w:trHeight w:val="330" w:hRule="atLeast"/>
        </w:trPr>
        <w:tc>
          <w:tcPr>
            <w:tcW w:w="2261" w:type="dxa"/>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eastAsia="等线"/>
                <w:color w:val="000000"/>
                <w:kern w:val="0"/>
                <w:sz w:val="24"/>
              </w:rPr>
            </w:pPr>
            <w:r>
              <w:rPr>
                <w:rFonts w:eastAsia="等线"/>
                <w:color w:val="000000"/>
                <w:kern w:val="0"/>
                <w:sz w:val="24"/>
              </w:rPr>
              <w:t>NO</w:t>
            </w:r>
            <w:r>
              <w:rPr>
                <w:rFonts w:eastAsia="等线"/>
                <w:color w:val="000000"/>
                <w:kern w:val="0"/>
                <w:sz w:val="24"/>
                <w:vertAlign w:val="subscript"/>
              </w:rPr>
              <w:t>2</w:t>
            </w:r>
            <w:r>
              <w:rPr>
                <w:rFonts w:hint="eastAsia" w:ascii="宋体" w:hAnsi="宋体"/>
                <w:color w:val="000000"/>
                <w:kern w:val="0"/>
                <w:sz w:val="24"/>
              </w:rPr>
              <w:t>（</w:t>
            </w:r>
            <w:r>
              <w:rPr>
                <w:rFonts w:eastAsia="等线"/>
                <w:color w:val="000000"/>
                <w:kern w:val="0"/>
                <w:sz w:val="24"/>
              </w:rPr>
              <w:t>μg/m</w:t>
            </w:r>
            <w:r>
              <w:rPr>
                <w:rFonts w:eastAsia="等线"/>
                <w:color w:val="000000"/>
                <w:kern w:val="0"/>
                <w:sz w:val="24"/>
                <w:vertAlign w:val="superscript"/>
              </w:rPr>
              <w:t>3</w:t>
            </w:r>
            <w:r>
              <w:rPr>
                <w:rFonts w:hint="eastAsia" w:ascii="宋体" w:hAnsi="宋体"/>
                <w:color w:val="000000"/>
                <w:kern w:val="0"/>
                <w:sz w:val="24"/>
              </w:rPr>
              <w:t>）</w:t>
            </w: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2017</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16</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25</w:t>
            </w:r>
          </w:p>
        </w:tc>
      </w:tr>
      <w:tr>
        <w:tblPrEx>
          <w:tblLayout w:type="fixed"/>
          <w:tblCellMar>
            <w:top w:w="0" w:type="dxa"/>
            <w:left w:w="108" w:type="dxa"/>
            <w:bottom w:w="0" w:type="dxa"/>
            <w:right w:w="108" w:type="dxa"/>
          </w:tblCellMar>
        </w:tblPrEx>
        <w:trPr>
          <w:trHeight w:val="330" w:hRule="atLeast"/>
        </w:trPr>
        <w:tc>
          <w:tcPr>
            <w:tcW w:w="2261" w:type="dxa"/>
            <w:vMerge w:val="continue"/>
            <w:tcBorders>
              <w:top w:val="nil"/>
              <w:left w:val="single" w:color="auto" w:sz="8" w:space="0"/>
              <w:bottom w:val="single" w:color="000000" w:sz="8" w:space="0"/>
              <w:right w:val="single" w:color="auto" w:sz="8" w:space="0"/>
            </w:tcBorders>
            <w:vAlign w:val="center"/>
          </w:tcPr>
          <w:p>
            <w:pPr>
              <w:widowControl/>
              <w:jc w:val="left"/>
              <w:rPr>
                <w:rFonts w:eastAsia="等线"/>
                <w:color w:val="000000"/>
                <w:kern w:val="0"/>
                <w:sz w:val="24"/>
              </w:rPr>
            </w:pP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2018</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12</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22</w:t>
            </w:r>
          </w:p>
        </w:tc>
      </w:tr>
      <w:tr>
        <w:tblPrEx>
          <w:tblLayout w:type="fixed"/>
          <w:tblCellMar>
            <w:top w:w="0" w:type="dxa"/>
            <w:left w:w="108" w:type="dxa"/>
            <w:bottom w:w="0" w:type="dxa"/>
            <w:right w:w="108" w:type="dxa"/>
          </w:tblCellMar>
        </w:tblPrEx>
        <w:trPr>
          <w:trHeight w:val="330" w:hRule="atLeast"/>
        </w:trPr>
        <w:tc>
          <w:tcPr>
            <w:tcW w:w="2261" w:type="dxa"/>
            <w:vMerge w:val="continue"/>
            <w:tcBorders>
              <w:top w:val="nil"/>
              <w:left w:val="single" w:color="auto" w:sz="8" w:space="0"/>
              <w:bottom w:val="single" w:color="000000" w:sz="8" w:space="0"/>
              <w:right w:val="single" w:color="auto" w:sz="8" w:space="0"/>
            </w:tcBorders>
            <w:vAlign w:val="center"/>
          </w:tcPr>
          <w:p>
            <w:pPr>
              <w:widowControl/>
              <w:jc w:val="left"/>
              <w:rPr>
                <w:rFonts w:eastAsia="等线"/>
                <w:color w:val="000000"/>
                <w:kern w:val="0"/>
                <w:sz w:val="24"/>
              </w:rPr>
            </w:pP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2019</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15</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23</w:t>
            </w:r>
          </w:p>
        </w:tc>
      </w:tr>
      <w:tr>
        <w:tblPrEx>
          <w:tblLayout w:type="fixed"/>
          <w:tblCellMar>
            <w:top w:w="0" w:type="dxa"/>
            <w:left w:w="108" w:type="dxa"/>
            <w:bottom w:w="0" w:type="dxa"/>
            <w:right w:w="108" w:type="dxa"/>
          </w:tblCellMar>
        </w:tblPrEx>
        <w:trPr>
          <w:trHeight w:val="330" w:hRule="atLeast"/>
        </w:trPr>
        <w:tc>
          <w:tcPr>
            <w:tcW w:w="2261" w:type="dxa"/>
            <w:vMerge w:val="continue"/>
            <w:tcBorders>
              <w:top w:val="nil"/>
              <w:left w:val="single" w:color="auto" w:sz="8" w:space="0"/>
              <w:bottom w:val="single" w:color="000000" w:sz="8" w:space="0"/>
              <w:right w:val="single" w:color="auto" w:sz="8" w:space="0"/>
            </w:tcBorders>
            <w:vAlign w:val="center"/>
          </w:tcPr>
          <w:p>
            <w:pPr>
              <w:widowControl/>
              <w:jc w:val="left"/>
              <w:rPr>
                <w:rFonts w:eastAsia="等线"/>
                <w:color w:val="000000"/>
                <w:kern w:val="0"/>
                <w:sz w:val="24"/>
              </w:rPr>
            </w:pP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2020</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18</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w:t>
            </w:r>
          </w:p>
        </w:tc>
      </w:tr>
      <w:tr>
        <w:tblPrEx>
          <w:tblLayout w:type="fixed"/>
          <w:tblCellMar>
            <w:top w:w="0" w:type="dxa"/>
            <w:left w:w="108" w:type="dxa"/>
            <w:bottom w:w="0" w:type="dxa"/>
            <w:right w:w="108" w:type="dxa"/>
          </w:tblCellMar>
        </w:tblPrEx>
        <w:trPr>
          <w:trHeight w:val="330" w:hRule="atLeast"/>
        </w:trPr>
        <w:tc>
          <w:tcPr>
            <w:tcW w:w="2261" w:type="dxa"/>
            <w:vMerge w:val="continue"/>
            <w:tcBorders>
              <w:top w:val="nil"/>
              <w:left w:val="single" w:color="auto" w:sz="8" w:space="0"/>
              <w:bottom w:val="single" w:color="000000" w:sz="8" w:space="0"/>
              <w:right w:val="single" w:color="auto" w:sz="8" w:space="0"/>
            </w:tcBorders>
            <w:vAlign w:val="center"/>
          </w:tcPr>
          <w:p>
            <w:pPr>
              <w:widowControl/>
              <w:jc w:val="left"/>
              <w:rPr>
                <w:rFonts w:eastAsia="等线"/>
                <w:color w:val="000000"/>
                <w:kern w:val="0"/>
                <w:sz w:val="24"/>
              </w:rPr>
            </w:pP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ascii="宋体" w:hAnsi="宋体" w:cs="宋体"/>
                <w:color w:val="000000"/>
                <w:kern w:val="0"/>
                <w:sz w:val="24"/>
              </w:rPr>
            </w:pPr>
            <w:r>
              <w:rPr>
                <w:rFonts w:hint="eastAsia" w:ascii="宋体" w:hAnsi="宋体" w:cs="宋体"/>
                <w:color w:val="000000"/>
                <w:kern w:val="0"/>
                <w:sz w:val="24"/>
              </w:rPr>
              <w:t>均值</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15</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23</w:t>
            </w:r>
          </w:p>
        </w:tc>
      </w:tr>
      <w:tr>
        <w:tblPrEx>
          <w:tblLayout w:type="fixed"/>
          <w:tblCellMar>
            <w:top w:w="0" w:type="dxa"/>
            <w:left w:w="108" w:type="dxa"/>
            <w:bottom w:w="0" w:type="dxa"/>
            <w:right w:w="108" w:type="dxa"/>
          </w:tblCellMar>
        </w:tblPrEx>
        <w:trPr>
          <w:trHeight w:val="330" w:hRule="atLeast"/>
        </w:trPr>
        <w:tc>
          <w:tcPr>
            <w:tcW w:w="2261" w:type="dxa"/>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eastAsia="等线"/>
                <w:color w:val="000000"/>
                <w:kern w:val="0"/>
                <w:sz w:val="24"/>
              </w:rPr>
            </w:pPr>
            <w:r>
              <w:rPr>
                <w:rFonts w:eastAsia="等线"/>
                <w:color w:val="000000"/>
                <w:kern w:val="0"/>
                <w:sz w:val="24"/>
              </w:rPr>
              <w:t>PM</w:t>
            </w:r>
            <w:r>
              <w:rPr>
                <w:rFonts w:eastAsia="等线"/>
                <w:color w:val="000000"/>
                <w:kern w:val="0"/>
                <w:sz w:val="24"/>
                <w:vertAlign w:val="subscript"/>
              </w:rPr>
              <w:t>10</w:t>
            </w:r>
            <w:r>
              <w:rPr>
                <w:rFonts w:hint="eastAsia" w:ascii="宋体" w:hAnsi="宋体"/>
                <w:color w:val="000000"/>
                <w:kern w:val="0"/>
                <w:sz w:val="24"/>
              </w:rPr>
              <w:t>（</w:t>
            </w:r>
            <w:r>
              <w:rPr>
                <w:rFonts w:eastAsia="等线"/>
                <w:color w:val="000000"/>
                <w:kern w:val="0"/>
                <w:sz w:val="24"/>
              </w:rPr>
              <w:t>μg/m</w:t>
            </w:r>
            <w:r>
              <w:rPr>
                <w:rFonts w:eastAsia="等线"/>
                <w:color w:val="000000"/>
                <w:kern w:val="0"/>
                <w:sz w:val="24"/>
                <w:vertAlign w:val="superscript"/>
              </w:rPr>
              <w:t>3</w:t>
            </w:r>
            <w:r>
              <w:rPr>
                <w:rFonts w:hint="eastAsia" w:ascii="宋体" w:hAnsi="宋体"/>
                <w:color w:val="000000"/>
                <w:kern w:val="0"/>
                <w:sz w:val="24"/>
              </w:rPr>
              <w:t>）</w:t>
            </w: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2017</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99</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122</w:t>
            </w:r>
          </w:p>
        </w:tc>
      </w:tr>
      <w:tr>
        <w:tblPrEx>
          <w:tblLayout w:type="fixed"/>
          <w:tblCellMar>
            <w:top w:w="0" w:type="dxa"/>
            <w:left w:w="108" w:type="dxa"/>
            <w:bottom w:w="0" w:type="dxa"/>
            <w:right w:w="108" w:type="dxa"/>
          </w:tblCellMar>
        </w:tblPrEx>
        <w:trPr>
          <w:trHeight w:val="330" w:hRule="atLeast"/>
        </w:trPr>
        <w:tc>
          <w:tcPr>
            <w:tcW w:w="2261" w:type="dxa"/>
            <w:vMerge w:val="continue"/>
            <w:tcBorders>
              <w:top w:val="nil"/>
              <w:left w:val="single" w:color="auto" w:sz="8" w:space="0"/>
              <w:bottom w:val="single" w:color="000000" w:sz="8" w:space="0"/>
              <w:right w:val="single" w:color="auto" w:sz="8" w:space="0"/>
            </w:tcBorders>
            <w:vAlign w:val="center"/>
          </w:tcPr>
          <w:p>
            <w:pPr>
              <w:widowControl/>
              <w:jc w:val="left"/>
              <w:rPr>
                <w:rFonts w:eastAsia="等线"/>
                <w:color w:val="000000"/>
                <w:kern w:val="0"/>
                <w:sz w:val="24"/>
              </w:rPr>
            </w:pP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2018</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106</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81</w:t>
            </w:r>
          </w:p>
        </w:tc>
      </w:tr>
      <w:tr>
        <w:tblPrEx>
          <w:tblLayout w:type="fixed"/>
          <w:tblCellMar>
            <w:top w:w="0" w:type="dxa"/>
            <w:left w:w="108" w:type="dxa"/>
            <w:bottom w:w="0" w:type="dxa"/>
            <w:right w:w="108" w:type="dxa"/>
          </w:tblCellMar>
        </w:tblPrEx>
        <w:trPr>
          <w:trHeight w:val="330" w:hRule="atLeast"/>
        </w:trPr>
        <w:tc>
          <w:tcPr>
            <w:tcW w:w="2261" w:type="dxa"/>
            <w:vMerge w:val="continue"/>
            <w:tcBorders>
              <w:top w:val="nil"/>
              <w:left w:val="single" w:color="auto" w:sz="8" w:space="0"/>
              <w:bottom w:val="single" w:color="000000" w:sz="8" w:space="0"/>
              <w:right w:val="single" w:color="auto" w:sz="8" w:space="0"/>
            </w:tcBorders>
            <w:vAlign w:val="center"/>
          </w:tcPr>
          <w:p>
            <w:pPr>
              <w:widowControl/>
              <w:jc w:val="left"/>
              <w:rPr>
                <w:rFonts w:eastAsia="等线"/>
                <w:color w:val="000000"/>
                <w:kern w:val="0"/>
                <w:sz w:val="24"/>
              </w:rPr>
            </w:pP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2019</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80</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97</w:t>
            </w:r>
          </w:p>
        </w:tc>
      </w:tr>
      <w:tr>
        <w:tblPrEx>
          <w:tblLayout w:type="fixed"/>
          <w:tblCellMar>
            <w:top w:w="0" w:type="dxa"/>
            <w:left w:w="108" w:type="dxa"/>
            <w:bottom w:w="0" w:type="dxa"/>
            <w:right w:w="108" w:type="dxa"/>
          </w:tblCellMar>
        </w:tblPrEx>
        <w:trPr>
          <w:trHeight w:val="330" w:hRule="atLeast"/>
        </w:trPr>
        <w:tc>
          <w:tcPr>
            <w:tcW w:w="2261" w:type="dxa"/>
            <w:vMerge w:val="continue"/>
            <w:tcBorders>
              <w:top w:val="nil"/>
              <w:left w:val="single" w:color="auto" w:sz="8" w:space="0"/>
              <w:bottom w:val="single" w:color="000000" w:sz="8" w:space="0"/>
              <w:right w:val="single" w:color="auto" w:sz="8" w:space="0"/>
            </w:tcBorders>
            <w:vAlign w:val="center"/>
          </w:tcPr>
          <w:p>
            <w:pPr>
              <w:widowControl/>
              <w:jc w:val="left"/>
              <w:rPr>
                <w:rFonts w:eastAsia="等线"/>
                <w:color w:val="000000"/>
                <w:kern w:val="0"/>
                <w:sz w:val="24"/>
              </w:rPr>
            </w:pP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2020</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81</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87</w:t>
            </w:r>
          </w:p>
        </w:tc>
      </w:tr>
      <w:tr>
        <w:tblPrEx>
          <w:tblLayout w:type="fixed"/>
          <w:tblCellMar>
            <w:top w:w="0" w:type="dxa"/>
            <w:left w:w="108" w:type="dxa"/>
            <w:bottom w:w="0" w:type="dxa"/>
            <w:right w:w="108" w:type="dxa"/>
          </w:tblCellMar>
        </w:tblPrEx>
        <w:trPr>
          <w:trHeight w:val="330" w:hRule="atLeast"/>
        </w:trPr>
        <w:tc>
          <w:tcPr>
            <w:tcW w:w="2261" w:type="dxa"/>
            <w:vMerge w:val="continue"/>
            <w:tcBorders>
              <w:top w:val="nil"/>
              <w:left w:val="single" w:color="auto" w:sz="8" w:space="0"/>
              <w:bottom w:val="single" w:color="000000" w:sz="8" w:space="0"/>
              <w:right w:val="single" w:color="auto" w:sz="8" w:space="0"/>
            </w:tcBorders>
            <w:vAlign w:val="center"/>
          </w:tcPr>
          <w:p>
            <w:pPr>
              <w:widowControl/>
              <w:jc w:val="left"/>
              <w:rPr>
                <w:rFonts w:eastAsia="等线"/>
                <w:color w:val="000000"/>
                <w:kern w:val="0"/>
                <w:sz w:val="24"/>
              </w:rPr>
            </w:pP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ascii="宋体" w:hAnsi="宋体" w:cs="宋体"/>
                <w:color w:val="000000"/>
                <w:kern w:val="0"/>
                <w:sz w:val="24"/>
              </w:rPr>
            </w:pPr>
            <w:r>
              <w:rPr>
                <w:rFonts w:hint="eastAsia" w:ascii="宋体" w:hAnsi="宋体" w:cs="宋体"/>
                <w:color w:val="000000"/>
                <w:kern w:val="0"/>
                <w:sz w:val="24"/>
              </w:rPr>
              <w:t>均值</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92</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97</w:t>
            </w:r>
          </w:p>
        </w:tc>
      </w:tr>
      <w:tr>
        <w:tblPrEx>
          <w:tblLayout w:type="fixed"/>
          <w:tblCellMar>
            <w:top w:w="0" w:type="dxa"/>
            <w:left w:w="108" w:type="dxa"/>
            <w:bottom w:w="0" w:type="dxa"/>
            <w:right w:w="108" w:type="dxa"/>
          </w:tblCellMar>
        </w:tblPrEx>
        <w:trPr>
          <w:trHeight w:val="330" w:hRule="atLeast"/>
        </w:trPr>
        <w:tc>
          <w:tcPr>
            <w:tcW w:w="2261" w:type="dxa"/>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eastAsia="等线"/>
                <w:color w:val="000000"/>
                <w:kern w:val="0"/>
                <w:sz w:val="24"/>
              </w:rPr>
            </w:pPr>
            <w:r>
              <w:rPr>
                <w:rFonts w:eastAsia="等线"/>
                <w:color w:val="000000"/>
                <w:kern w:val="0"/>
                <w:sz w:val="24"/>
              </w:rPr>
              <w:t>CO</w:t>
            </w:r>
            <w:r>
              <w:rPr>
                <w:rFonts w:hint="eastAsia" w:ascii="宋体" w:hAnsi="宋体"/>
                <w:color w:val="000000"/>
                <w:kern w:val="0"/>
                <w:sz w:val="24"/>
              </w:rPr>
              <w:t>（</w:t>
            </w:r>
            <w:r>
              <w:rPr>
                <w:rFonts w:eastAsia="等线"/>
                <w:color w:val="000000"/>
                <w:kern w:val="0"/>
                <w:sz w:val="24"/>
              </w:rPr>
              <w:t>mg/m</w:t>
            </w:r>
            <w:r>
              <w:rPr>
                <w:rFonts w:eastAsia="等线"/>
                <w:color w:val="000000"/>
                <w:kern w:val="0"/>
                <w:sz w:val="24"/>
                <w:vertAlign w:val="superscript"/>
              </w:rPr>
              <w:t>3</w:t>
            </w:r>
            <w:r>
              <w:rPr>
                <w:rFonts w:hint="eastAsia" w:ascii="宋体" w:hAnsi="宋体"/>
                <w:color w:val="000000"/>
                <w:kern w:val="0"/>
                <w:sz w:val="24"/>
              </w:rPr>
              <w:t>）</w:t>
            </w: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2017</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1.7</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1.7</w:t>
            </w:r>
          </w:p>
        </w:tc>
      </w:tr>
      <w:tr>
        <w:tblPrEx>
          <w:tblLayout w:type="fixed"/>
          <w:tblCellMar>
            <w:top w:w="0" w:type="dxa"/>
            <w:left w:w="108" w:type="dxa"/>
            <w:bottom w:w="0" w:type="dxa"/>
            <w:right w:w="108" w:type="dxa"/>
          </w:tblCellMar>
        </w:tblPrEx>
        <w:trPr>
          <w:trHeight w:val="330" w:hRule="atLeast"/>
        </w:trPr>
        <w:tc>
          <w:tcPr>
            <w:tcW w:w="2261" w:type="dxa"/>
            <w:vMerge w:val="continue"/>
            <w:tcBorders>
              <w:top w:val="nil"/>
              <w:left w:val="single" w:color="auto" w:sz="8" w:space="0"/>
              <w:bottom w:val="single" w:color="000000" w:sz="8" w:space="0"/>
              <w:right w:val="single" w:color="auto" w:sz="8" w:space="0"/>
            </w:tcBorders>
            <w:vAlign w:val="center"/>
          </w:tcPr>
          <w:p>
            <w:pPr>
              <w:widowControl/>
              <w:jc w:val="left"/>
              <w:rPr>
                <w:rFonts w:eastAsia="等线"/>
                <w:color w:val="000000"/>
                <w:kern w:val="0"/>
                <w:sz w:val="24"/>
              </w:rPr>
            </w:pP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2018</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1.5</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1.2</w:t>
            </w:r>
          </w:p>
        </w:tc>
      </w:tr>
      <w:tr>
        <w:tblPrEx>
          <w:tblLayout w:type="fixed"/>
          <w:tblCellMar>
            <w:top w:w="0" w:type="dxa"/>
            <w:left w:w="108" w:type="dxa"/>
            <w:bottom w:w="0" w:type="dxa"/>
            <w:right w:w="108" w:type="dxa"/>
          </w:tblCellMar>
        </w:tblPrEx>
        <w:trPr>
          <w:trHeight w:val="330" w:hRule="atLeast"/>
        </w:trPr>
        <w:tc>
          <w:tcPr>
            <w:tcW w:w="2261" w:type="dxa"/>
            <w:vMerge w:val="continue"/>
            <w:tcBorders>
              <w:top w:val="nil"/>
              <w:left w:val="single" w:color="auto" w:sz="8" w:space="0"/>
              <w:bottom w:val="single" w:color="000000" w:sz="8" w:space="0"/>
              <w:right w:val="single" w:color="auto" w:sz="8" w:space="0"/>
            </w:tcBorders>
            <w:vAlign w:val="center"/>
          </w:tcPr>
          <w:p>
            <w:pPr>
              <w:widowControl/>
              <w:jc w:val="left"/>
              <w:rPr>
                <w:rFonts w:eastAsia="等线"/>
                <w:color w:val="000000"/>
                <w:kern w:val="0"/>
                <w:sz w:val="24"/>
              </w:rPr>
            </w:pP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2019</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1.3</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1.2</w:t>
            </w:r>
          </w:p>
        </w:tc>
      </w:tr>
      <w:tr>
        <w:tblPrEx>
          <w:tblLayout w:type="fixed"/>
          <w:tblCellMar>
            <w:top w:w="0" w:type="dxa"/>
            <w:left w:w="108" w:type="dxa"/>
            <w:bottom w:w="0" w:type="dxa"/>
            <w:right w:w="108" w:type="dxa"/>
          </w:tblCellMar>
        </w:tblPrEx>
        <w:trPr>
          <w:trHeight w:val="330" w:hRule="atLeast"/>
        </w:trPr>
        <w:tc>
          <w:tcPr>
            <w:tcW w:w="2261" w:type="dxa"/>
            <w:vMerge w:val="continue"/>
            <w:tcBorders>
              <w:top w:val="nil"/>
              <w:left w:val="single" w:color="auto" w:sz="8" w:space="0"/>
              <w:bottom w:val="single" w:color="000000" w:sz="8" w:space="0"/>
              <w:right w:val="single" w:color="auto" w:sz="8" w:space="0"/>
            </w:tcBorders>
            <w:vAlign w:val="center"/>
          </w:tcPr>
          <w:p>
            <w:pPr>
              <w:widowControl/>
              <w:jc w:val="left"/>
              <w:rPr>
                <w:rFonts w:eastAsia="等线"/>
                <w:color w:val="000000"/>
                <w:kern w:val="0"/>
                <w:sz w:val="24"/>
              </w:rPr>
            </w:pP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2020</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0.9</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0.8</w:t>
            </w:r>
          </w:p>
        </w:tc>
      </w:tr>
      <w:tr>
        <w:tblPrEx>
          <w:tblLayout w:type="fixed"/>
          <w:tblCellMar>
            <w:top w:w="0" w:type="dxa"/>
            <w:left w:w="108" w:type="dxa"/>
            <w:bottom w:w="0" w:type="dxa"/>
            <w:right w:w="108" w:type="dxa"/>
          </w:tblCellMar>
        </w:tblPrEx>
        <w:trPr>
          <w:trHeight w:val="330" w:hRule="atLeast"/>
        </w:trPr>
        <w:tc>
          <w:tcPr>
            <w:tcW w:w="2261" w:type="dxa"/>
            <w:vMerge w:val="continue"/>
            <w:tcBorders>
              <w:top w:val="nil"/>
              <w:left w:val="single" w:color="auto" w:sz="8" w:space="0"/>
              <w:bottom w:val="single" w:color="000000" w:sz="8" w:space="0"/>
              <w:right w:val="single" w:color="auto" w:sz="8" w:space="0"/>
            </w:tcBorders>
            <w:vAlign w:val="center"/>
          </w:tcPr>
          <w:p>
            <w:pPr>
              <w:widowControl/>
              <w:jc w:val="left"/>
              <w:rPr>
                <w:rFonts w:eastAsia="等线"/>
                <w:color w:val="000000"/>
                <w:kern w:val="0"/>
                <w:sz w:val="24"/>
              </w:rPr>
            </w:pP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ascii="宋体" w:hAnsi="宋体" w:cs="宋体"/>
                <w:color w:val="000000"/>
                <w:kern w:val="0"/>
                <w:sz w:val="24"/>
              </w:rPr>
            </w:pPr>
            <w:r>
              <w:rPr>
                <w:rFonts w:hint="eastAsia" w:ascii="宋体" w:hAnsi="宋体" w:cs="宋体"/>
                <w:color w:val="000000"/>
                <w:kern w:val="0"/>
                <w:sz w:val="24"/>
              </w:rPr>
              <w:t>均值</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1.4</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1.2</w:t>
            </w:r>
          </w:p>
        </w:tc>
      </w:tr>
      <w:tr>
        <w:tblPrEx>
          <w:tblLayout w:type="fixed"/>
          <w:tblCellMar>
            <w:top w:w="0" w:type="dxa"/>
            <w:left w:w="108" w:type="dxa"/>
            <w:bottom w:w="0" w:type="dxa"/>
            <w:right w:w="108" w:type="dxa"/>
          </w:tblCellMar>
        </w:tblPrEx>
        <w:trPr>
          <w:trHeight w:val="330" w:hRule="atLeast"/>
        </w:trPr>
        <w:tc>
          <w:tcPr>
            <w:tcW w:w="2261" w:type="dxa"/>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eastAsia="等线"/>
                <w:color w:val="000000"/>
                <w:kern w:val="0"/>
                <w:sz w:val="24"/>
              </w:rPr>
            </w:pPr>
            <w:r>
              <w:rPr>
                <w:rFonts w:eastAsia="等线"/>
                <w:color w:val="000000"/>
                <w:kern w:val="0"/>
                <w:sz w:val="24"/>
              </w:rPr>
              <w:t>O</w:t>
            </w:r>
            <w:r>
              <w:rPr>
                <w:rFonts w:eastAsia="等线"/>
                <w:color w:val="000000"/>
                <w:kern w:val="0"/>
                <w:sz w:val="24"/>
                <w:vertAlign w:val="subscript"/>
              </w:rPr>
              <w:t>3</w:t>
            </w:r>
            <w:r>
              <w:rPr>
                <w:rFonts w:hint="eastAsia" w:ascii="宋体" w:hAnsi="宋体"/>
                <w:color w:val="000000"/>
                <w:kern w:val="0"/>
                <w:sz w:val="24"/>
              </w:rPr>
              <w:t>（</w:t>
            </w:r>
            <w:r>
              <w:rPr>
                <w:rFonts w:eastAsia="等线"/>
                <w:color w:val="000000"/>
                <w:kern w:val="0"/>
                <w:sz w:val="24"/>
              </w:rPr>
              <w:t>μg/m</w:t>
            </w:r>
            <w:r>
              <w:rPr>
                <w:rFonts w:eastAsia="等线"/>
                <w:color w:val="000000"/>
                <w:kern w:val="0"/>
                <w:sz w:val="24"/>
                <w:vertAlign w:val="superscript"/>
              </w:rPr>
              <w:t>3</w:t>
            </w:r>
            <w:r>
              <w:rPr>
                <w:rFonts w:hint="eastAsia" w:ascii="宋体" w:hAnsi="宋体"/>
                <w:color w:val="000000"/>
                <w:kern w:val="0"/>
                <w:sz w:val="24"/>
              </w:rPr>
              <w:t>）</w:t>
            </w: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2017</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170</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167</w:t>
            </w:r>
          </w:p>
        </w:tc>
      </w:tr>
      <w:tr>
        <w:tblPrEx>
          <w:tblLayout w:type="fixed"/>
          <w:tblCellMar>
            <w:top w:w="0" w:type="dxa"/>
            <w:left w:w="108" w:type="dxa"/>
            <w:bottom w:w="0" w:type="dxa"/>
            <w:right w:w="108" w:type="dxa"/>
          </w:tblCellMar>
        </w:tblPrEx>
        <w:trPr>
          <w:trHeight w:val="330" w:hRule="atLeast"/>
        </w:trPr>
        <w:tc>
          <w:tcPr>
            <w:tcW w:w="2261" w:type="dxa"/>
            <w:vMerge w:val="continue"/>
            <w:tcBorders>
              <w:top w:val="nil"/>
              <w:left w:val="single" w:color="auto" w:sz="8" w:space="0"/>
              <w:bottom w:val="single" w:color="000000" w:sz="8" w:space="0"/>
              <w:right w:val="single" w:color="auto" w:sz="8" w:space="0"/>
            </w:tcBorders>
            <w:vAlign w:val="center"/>
          </w:tcPr>
          <w:p>
            <w:pPr>
              <w:widowControl/>
              <w:jc w:val="left"/>
              <w:rPr>
                <w:rFonts w:eastAsia="等线"/>
                <w:color w:val="000000"/>
                <w:kern w:val="0"/>
                <w:sz w:val="24"/>
              </w:rPr>
            </w:pP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2018</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163</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160</w:t>
            </w:r>
          </w:p>
        </w:tc>
      </w:tr>
      <w:tr>
        <w:tblPrEx>
          <w:tblLayout w:type="fixed"/>
          <w:tblCellMar>
            <w:top w:w="0" w:type="dxa"/>
            <w:left w:w="108" w:type="dxa"/>
            <w:bottom w:w="0" w:type="dxa"/>
            <w:right w:w="108" w:type="dxa"/>
          </w:tblCellMar>
        </w:tblPrEx>
        <w:trPr>
          <w:trHeight w:val="330" w:hRule="atLeast"/>
        </w:trPr>
        <w:tc>
          <w:tcPr>
            <w:tcW w:w="2261" w:type="dxa"/>
            <w:vMerge w:val="continue"/>
            <w:tcBorders>
              <w:top w:val="nil"/>
              <w:left w:val="single" w:color="auto" w:sz="8" w:space="0"/>
              <w:bottom w:val="single" w:color="000000" w:sz="8" w:space="0"/>
              <w:right w:val="single" w:color="auto" w:sz="8" w:space="0"/>
            </w:tcBorders>
            <w:vAlign w:val="center"/>
          </w:tcPr>
          <w:p>
            <w:pPr>
              <w:widowControl/>
              <w:jc w:val="left"/>
              <w:rPr>
                <w:rFonts w:eastAsia="等线"/>
                <w:color w:val="000000"/>
                <w:kern w:val="0"/>
                <w:sz w:val="24"/>
              </w:rPr>
            </w:pP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2019</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190</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175</w:t>
            </w:r>
          </w:p>
        </w:tc>
      </w:tr>
      <w:tr>
        <w:tblPrEx>
          <w:tblLayout w:type="fixed"/>
          <w:tblCellMar>
            <w:top w:w="0" w:type="dxa"/>
            <w:left w:w="108" w:type="dxa"/>
            <w:bottom w:w="0" w:type="dxa"/>
            <w:right w:w="108" w:type="dxa"/>
          </w:tblCellMar>
        </w:tblPrEx>
        <w:trPr>
          <w:trHeight w:val="330" w:hRule="atLeast"/>
        </w:trPr>
        <w:tc>
          <w:tcPr>
            <w:tcW w:w="2261" w:type="dxa"/>
            <w:vMerge w:val="continue"/>
            <w:tcBorders>
              <w:top w:val="nil"/>
              <w:left w:val="single" w:color="auto" w:sz="8" w:space="0"/>
              <w:bottom w:val="single" w:color="000000" w:sz="8" w:space="0"/>
              <w:right w:val="single" w:color="auto" w:sz="8" w:space="0"/>
            </w:tcBorders>
            <w:vAlign w:val="center"/>
          </w:tcPr>
          <w:p>
            <w:pPr>
              <w:widowControl/>
              <w:jc w:val="left"/>
              <w:rPr>
                <w:rFonts w:eastAsia="等线"/>
                <w:color w:val="000000"/>
                <w:kern w:val="0"/>
                <w:sz w:val="24"/>
              </w:rPr>
            </w:pP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2020</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143</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140</w:t>
            </w:r>
          </w:p>
        </w:tc>
      </w:tr>
      <w:tr>
        <w:tblPrEx>
          <w:tblLayout w:type="fixed"/>
          <w:tblCellMar>
            <w:top w:w="0" w:type="dxa"/>
            <w:left w:w="108" w:type="dxa"/>
            <w:bottom w:w="0" w:type="dxa"/>
            <w:right w:w="108" w:type="dxa"/>
          </w:tblCellMar>
        </w:tblPrEx>
        <w:trPr>
          <w:trHeight w:val="330" w:hRule="atLeast"/>
        </w:trPr>
        <w:tc>
          <w:tcPr>
            <w:tcW w:w="2261" w:type="dxa"/>
            <w:vMerge w:val="continue"/>
            <w:tcBorders>
              <w:top w:val="nil"/>
              <w:left w:val="single" w:color="auto" w:sz="8" w:space="0"/>
              <w:bottom w:val="single" w:color="000000" w:sz="8" w:space="0"/>
              <w:right w:val="single" w:color="auto" w:sz="8" w:space="0"/>
            </w:tcBorders>
            <w:vAlign w:val="center"/>
          </w:tcPr>
          <w:p>
            <w:pPr>
              <w:widowControl/>
              <w:jc w:val="left"/>
              <w:rPr>
                <w:rFonts w:eastAsia="等线"/>
                <w:color w:val="000000"/>
                <w:kern w:val="0"/>
                <w:sz w:val="24"/>
              </w:rPr>
            </w:pP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ascii="宋体" w:hAnsi="宋体" w:cs="宋体"/>
                <w:color w:val="000000"/>
                <w:kern w:val="0"/>
                <w:sz w:val="24"/>
              </w:rPr>
            </w:pPr>
            <w:r>
              <w:rPr>
                <w:rFonts w:hint="eastAsia" w:ascii="宋体" w:hAnsi="宋体" w:cs="宋体"/>
                <w:color w:val="000000"/>
                <w:kern w:val="0"/>
                <w:sz w:val="24"/>
              </w:rPr>
              <w:t>均值</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167</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161</w:t>
            </w:r>
          </w:p>
        </w:tc>
      </w:tr>
      <w:tr>
        <w:tblPrEx>
          <w:tblLayout w:type="fixed"/>
          <w:tblCellMar>
            <w:top w:w="0" w:type="dxa"/>
            <w:left w:w="108" w:type="dxa"/>
            <w:bottom w:w="0" w:type="dxa"/>
            <w:right w:w="108" w:type="dxa"/>
          </w:tblCellMar>
        </w:tblPrEx>
        <w:trPr>
          <w:trHeight w:val="330" w:hRule="atLeast"/>
        </w:trPr>
        <w:tc>
          <w:tcPr>
            <w:tcW w:w="2261" w:type="dxa"/>
            <w:vMerge w:val="restart"/>
            <w:tcBorders>
              <w:top w:val="nil"/>
              <w:left w:val="single" w:color="auto" w:sz="8" w:space="0"/>
              <w:bottom w:val="single" w:color="000000" w:sz="8" w:space="0"/>
              <w:right w:val="single" w:color="auto" w:sz="8" w:space="0"/>
            </w:tcBorders>
            <w:shd w:val="clear" w:color="auto" w:fill="auto"/>
            <w:vAlign w:val="center"/>
          </w:tcPr>
          <w:p>
            <w:pPr>
              <w:widowControl/>
              <w:jc w:val="center"/>
              <w:rPr>
                <w:rFonts w:eastAsia="等线"/>
                <w:color w:val="000000"/>
                <w:kern w:val="0"/>
                <w:sz w:val="24"/>
              </w:rPr>
            </w:pPr>
            <w:r>
              <w:rPr>
                <w:rFonts w:eastAsia="等线"/>
                <w:color w:val="000000"/>
                <w:kern w:val="0"/>
                <w:sz w:val="24"/>
              </w:rPr>
              <w:t>PM</w:t>
            </w:r>
            <w:r>
              <w:rPr>
                <w:rFonts w:eastAsia="等线"/>
                <w:color w:val="000000"/>
                <w:kern w:val="0"/>
                <w:sz w:val="24"/>
                <w:vertAlign w:val="subscript"/>
              </w:rPr>
              <w:t>2.5</w:t>
            </w:r>
            <w:r>
              <w:rPr>
                <w:rFonts w:hint="eastAsia" w:ascii="宋体" w:hAnsi="宋体"/>
                <w:color w:val="000000"/>
                <w:kern w:val="0"/>
                <w:sz w:val="24"/>
              </w:rPr>
              <w:t>（</w:t>
            </w:r>
            <w:r>
              <w:rPr>
                <w:rFonts w:eastAsia="等线"/>
                <w:color w:val="000000"/>
                <w:kern w:val="0"/>
                <w:sz w:val="24"/>
              </w:rPr>
              <w:t>μg/m</w:t>
            </w:r>
            <w:r>
              <w:rPr>
                <w:rFonts w:eastAsia="等线"/>
                <w:color w:val="000000"/>
                <w:kern w:val="0"/>
                <w:sz w:val="24"/>
                <w:vertAlign w:val="superscript"/>
              </w:rPr>
              <w:t>3</w:t>
            </w:r>
            <w:r>
              <w:rPr>
                <w:rFonts w:hint="eastAsia" w:ascii="宋体" w:hAnsi="宋体"/>
                <w:color w:val="000000"/>
                <w:kern w:val="0"/>
                <w:sz w:val="24"/>
              </w:rPr>
              <w:t>）</w:t>
            </w: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2017</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45</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73</w:t>
            </w:r>
          </w:p>
        </w:tc>
      </w:tr>
      <w:tr>
        <w:tblPrEx>
          <w:tblLayout w:type="fixed"/>
          <w:tblCellMar>
            <w:top w:w="0" w:type="dxa"/>
            <w:left w:w="108" w:type="dxa"/>
            <w:bottom w:w="0" w:type="dxa"/>
            <w:right w:w="108" w:type="dxa"/>
          </w:tblCellMar>
        </w:tblPrEx>
        <w:trPr>
          <w:trHeight w:val="330" w:hRule="atLeast"/>
        </w:trPr>
        <w:tc>
          <w:tcPr>
            <w:tcW w:w="2261" w:type="dxa"/>
            <w:vMerge w:val="continue"/>
            <w:tcBorders>
              <w:top w:val="nil"/>
              <w:left w:val="single" w:color="auto" w:sz="8" w:space="0"/>
              <w:bottom w:val="single" w:color="000000" w:sz="8" w:space="0"/>
              <w:right w:val="single" w:color="auto" w:sz="8" w:space="0"/>
            </w:tcBorders>
            <w:vAlign w:val="center"/>
          </w:tcPr>
          <w:p>
            <w:pPr>
              <w:widowControl/>
              <w:jc w:val="left"/>
              <w:rPr>
                <w:rFonts w:eastAsia="等线"/>
                <w:color w:val="000000"/>
                <w:kern w:val="0"/>
                <w:sz w:val="24"/>
              </w:rPr>
            </w:pP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2018</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50</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50</w:t>
            </w:r>
          </w:p>
        </w:tc>
      </w:tr>
      <w:tr>
        <w:tblPrEx>
          <w:tblLayout w:type="fixed"/>
          <w:tblCellMar>
            <w:top w:w="0" w:type="dxa"/>
            <w:left w:w="108" w:type="dxa"/>
            <w:bottom w:w="0" w:type="dxa"/>
            <w:right w:w="108" w:type="dxa"/>
          </w:tblCellMar>
        </w:tblPrEx>
        <w:trPr>
          <w:trHeight w:val="330" w:hRule="atLeast"/>
        </w:trPr>
        <w:tc>
          <w:tcPr>
            <w:tcW w:w="2261" w:type="dxa"/>
            <w:vMerge w:val="continue"/>
            <w:tcBorders>
              <w:top w:val="nil"/>
              <w:left w:val="single" w:color="auto" w:sz="8" w:space="0"/>
              <w:bottom w:val="single" w:color="000000" w:sz="8" w:space="0"/>
              <w:right w:val="single" w:color="auto" w:sz="8" w:space="0"/>
            </w:tcBorders>
            <w:vAlign w:val="center"/>
          </w:tcPr>
          <w:p>
            <w:pPr>
              <w:widowControl/>
              <w:jc w:val="left"/>
              <w:rPr>
                <w:rFonts w:eastAsia="等线"/>
                <w:color w:val="000000"/>
                <w:kern w:val="0"/>
                <w:sz w:val="24"/>
              </w:rPr>
            </w:pP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2019</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51</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54</w:t>
            </w:r>
          </w:p>
        </w:tc>
      </w:tr>
      <w:tr>
        <w:tblPrEx>
          <w:tblLayout w:type="fixed"/>
          <w:tblCellMar>
            <w:top w:w="0" w:type="dxa"/>
            <w:left w:w="108" w:type="dxa"/>
            <w:bottom w:w="0" w:type="dxa"/>
            <w:right w:w="108" w:type="dxa"/>
          </w:tblCellMar>
        </w:tblPrEx>
        <w:trPr>
          <w:trHeight w:val="330" w:hRule="atLeast"/>
        </w:trPr>
        <w:tc>
          <w:tcPr>
            <w:tcW w:w="2261" w:type="dxa"/>
            <w:vMerge w:val="continue"/>
            <w:tcBorders>
              <w:top w:val="nil"/>
              <w:left w:val="single" w:color="auto" w:sz="8" w:space="0"/>
              <w:bottom w:val="single" w:color="000000" w:sz="8" w:space="0"/>
              <w:right w:val="single" w:color="auto" w:sz="8" w:space="0"/>
            </w:tcBorders>
            <w:vAlign w:val="center"/>
          </w:tcPr>
          <w:p>
            <w:pPr>
              <w:widowControl/>
              <w:jc w:val="left"/>
              <w:rPr>
                <w:rFonts w:eastAsia="等线"/>
                <w:color w:val="000000"/>
                <w:kern w:val="0"/>
                <w:sz w:val="24"/>
              </w:rPr>
            </w:pP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2020</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48</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46</w:t>
            </w:r>
          </w:p>
        </w:tc>
      </w:tr>
      <w:tr>
        <w:tblPrEx>
          <w:tblLayout w:type="fixed"/>
          <w:tblCellMar>
            <w:top w:w="0" w:type="dxa"/>
            <w:left w:w="108" w:type="dxa"/>
            <w:bottom w:w="0" w:type="dxa"/>
            <w:right w:w="108" w:type="dxa"/>
          </w:tblCellMar>
        </w:tblPrEx>
        <w:trPr>
          <w:trHeight w:val="330" w:hRule="atLeast"/>
        </w:trPr>
        <w:tc>
          <w:tcPr>
            <w:tcW w:w="2261" w:type="dxa"/>
            <w:vMerge w:val="continue"/>
            <w:tcBorders>
              <w:top w:val="nil"/>
              <w:left w:val="single" w:color="auto" w:sz="8" w:space="0"/>
              <w:bottom w:val="single" w:color="000000" w:sz="8" w:space="0"/>
              <w:right w:val="single" w:color="auto" w:sz="8" w:space="0"/>
            </w:tcBorders>
            <w:vAlign w:val="center"/>
          </w:tcPr>
          <w:p>
            <w:pPr>
              <w:widowControl/>
              <w:jc w:val="left"/>
              <w:rPr>
                <w:rFonts w:eastAsia="等线"/>
                <w:color w:val="000000"/>
                <w:kern w:val="0"/>
                <w:sz w:val="24"/>
              </w:rPr>
            </w:pPr>
          </w:p>
        </w:tc>
        <w:tc>
          <w:tcPr>
            <w:tcW w:w="2018" w:type="dxa"/>
            <w:tcBorders>
              <w:top w:val="nil"/>
              <w:left w:val="nil"/>
              <w:bottom w:val="single" w:color="auto" w:sz="8" w:space="0"/>
              <w:right w:val="single" w:color="auto" w:sz="8" w:space="0"/>
            </w:tcBorders>
            <w:shd w:val="clear" w:color="auto" w:fill="auto"/>
            <w:noWrap/>
            <w:vAlign w:val="center"/>
          </w:tcPr>
          <w:p>
            <w:pPr>
              <w:widowControl/>
              <w:jc w:val="center"/>
              <w:rPr>
                <w:rFonts w:ascii="宋体" w:hAnsi="宋体" w:cs="宋体"/>
                <w:color w:val="000000"/>
                <w:kern w:val="0"/>
                <w:sz w:val="24"/>
              </w:rPr>
            </w:pPr>
            <w:r>
              <w:rPr>
                <w:rFonts w:hint="eastAsia" w:ascii="宋体" w:hAnsi="宋体" w:cs="宋体"/>
                <w:color w:val="000000"/>
                <w:kern w:val="0"/>
                <w:sz w:val="24"/>
              </w:rPr>
              <w:t>均值</w:t>
            </w:r>
          </w:p>
        </w:tc>
        <w:tc>
          <w:tcPr>
            <w:tcW w:w="2139"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49</w:t>
            </w:r>
          </w:p>
        </w:tc>
        <w:tc>
          <w:tcPr>
            <w:tcW w:w="2110" w:type="dxa"/>
            <w:tcBorders>
              <w:top w:val="nil"/>
              <w:left w:val="nil"/>
              <w:bottom w:val="single" w:color="auto" w:sz="8" w:space="0"/>
              <w:right w:val="single" w:color="auto" w:sz="8" w:space="0"/>
            </w:tcBorders>
            <w:shd w:val="clear" w:color="auto" w:fill="auto"/>
            <w:noWrap/>
            <w:vAlign w:val="center"/>
          </w:tcPr>
          <w:p>
            <w:pPr>
              <w:widowControl/>
              <w:jc w:val="center"/>
              <w:rPr>
                <w:rFonts w:eastAsia="等线"/>
                <w:color w:val="000000"/>
                <w:kern w:val="0"/>
                <w:sz w:val="24"/>
              </w:rPr>
            </w:pPr>
            <w:r>
              <w:rPr>
                <w:rFonts w:eastAsia="等线"/>
                <w:color w:val="000000"/>
                <w:kern w:val="0"/>
                <w:sz w:val="24"/>
              </w:rPr>
              <w:t>56</w:t>
            </w:r>
          </w:p>
        </w:tc>
      </w:tr>
    </w:tbl>
    <w:p>
      <w:pPr>
        <w:spacing w:line="360" w:lineRule="auto"/>
        <w:ind w:firstLine="480" w:firstLineChars="200"/>
        <w:rPr>
          <w:rFonts w:eastAsia="仿宋"/>
          <w:sz w:val="24"/>
        </w:rPr>
      </w:pPr>
    </w:p>
    <w:p>
      <w:pPr>
        <w:spacing w:line="360" w:lineRule="auto"/>
        <w:ind w:firstLine="560" w:firstLineChars="200"/>
        <w:rPr>
          <w:sz w:val="28"/>
          <w:szCs w:val="21"/>
        </w:rPr>
      </w:pPr>
      <w:r>
        <w:rPr>
          <w:sz w:val="28"/>
          <w:szCs w:val="21"/>
        </w:rPr>
        <w:t>2017-20</w:t>
      </w:r>
      <w:r>
        <w:rPr>
          <w:rFonts w:hint="eastAsia"/>
          <w:sz w:val="28"/>
          <w:szCs w:val="21"/>
        </w:rPr>
        <w:t>20</w:t>
      </w:r>
      <w:r>
        <w:rPr>
          <w:sz w:val="28"/>
          <w:szCs w:val="21"/>
        </w:rPr>
        <w:t>年，泗县、灵璧县SO</w:t>
      </w:r>
      <w:r>
        <w:rPr>
          <w:sz w:val="28"/>
          <w:szCs w:val="21"/>
          <w:vertAlign w:val="subscript"/>
        </w:rPr>
        <w:t>2</w:t>
      </w:r>
      <w:r>
        <w:rPr>
          <w:sz w:val="28"/>
          <w:szCs w:val="21"/>
        </w:rPr>
        <w:t>、NO</w:t>
      </w:r>
      <w:r>
        <w:rPr>
          <w:sz w:val="28"/>
          <w:szCs w:val="21"/>
          <w:vertAlign w:val="subscript"/>
        </w:rPr>
        <w:t>2</w:t>
      </w:r>
      <w:r>
        <w:rPr>
          <w:sz w:val="28"/>
          <w:szCs w:val="21"/>
        </w:rPr>
        <w:t>、CO及PM</w:t>
      </w:r>
      <w:r>
        <w:rPr>
          <w:sz w:val="28"/>
          <w:szCs w:val="21"/>
          <w:vertAlign w:val="subscript"/>
        </w:rPr>
        <w:t>10</w:t>
      </w:r>
      <w:r>
        <w:rPr>
          <w:sz w:val="28"/>
          <w:szCs w:val="21"/>
        </w:rPr>
        <w:t>年均浓度整体呈下降趋势（图</w:t>
      </w:r>
      <w:r>
        <w:rPr>
          <w:rFonts w:hint="eastAsia"/>
          <w:sz w:val="28"/>
          <w:szCs w:val="21"/>
        </w:rPr>
        <w:t>2-7、2-8</w:t>
      </w:r>
      <w:r>
        <w:rPr>
          <w:sz w:val="28"/>
          <w:szCs w:val="21"/>
        </w:rPr>
        <w:t>），但PM</w:t>
      </w:r>
      <w:r>
        <w:rPr>
          <w:sz w:val="28"/>
          <w:szCs w:val="21"/>
          <w:vertAlign w:val="subscript"/>
        </w:rPr>
        <w:t>10</w:t>
      </w:r>
      <w:r>
        <w:rPr>
          <w:sz w:val="28"/>
          <w:szCs w:val="21"/>
        </w:rPr>
        <w:t>年均浓度均超出国家二级标准浓度。PM</w:t>
      </w:r>
      <w:r>
        <w:rPr>
          <w:sz w:val="28"/>
          <w:szCs w:val="21"/>
          <w:vertAlign w:val="subscript"/>
        </w:rPr>
        <w:t>2.5</w:t>
      </w:r>
      <w:r>
        <w:rPr>
          <w:sz w:val="28"/>
          <w:szCs w:val="21"/>
        </w:rPr>
        <w:t>呈波动性变化，201</w:t>
      </w:r>
      <w:r>
        <w:rPr>
          <w:rFonts w:hint="eastAsia"/>
          <w:sz w:val="28"/>
          <w:szCs w:val="21"/>
        </w:rPr>
        <w:t>7</w:t>
      </w:r>
      <w:r>
        <w:rPr>
          <w:sz w:val="28"/>
          <w:szCs w:val="21"/>
        </w:rPr>
        <w:t>年</w:t>
      </w:r>
      <w:r>
        <w:rPr>
          <w:rFonts w:hint="eastAsia"/>
          <w:sz w:val="28"/>
          <w:szCs w:val="21"/>
        </w:rPr>
        <w:t>泗县与2018年灵璧县的年均</w:t>
      </w:r>
      <w:r>
        <w:rPr>
          <w:sz w:val="28"/>
          <w:szCs w:val="21"/>
        </w:rPr>
        <w:t>浓度最低，但仍未达国家二级标准浓度；O</w:t>
      </w:r>
      <w:r>
        <w:rPr>
          <w:sz w:val="28"/>
          <w:szCs w:val="21"/>
          <w:vertAlign w:val="subscript"/>
        </w:rPr>
        <w:t>3</w:t>
      </w:r>
      <w:r>
        <w:rPr>
          <w:sz w:val="28"/>
          <w:szCs w:val="21"/>
        </w:rPr>
        <w:t>浓度</w:t>
      </w:r>
      <w:r>
        <w:rPr>
          <w:rFonts w:hint="eastAsia"/>
          <w:sz w:val="28"/>
          <w:szCs w:val="21"/>
        </w:rPr>
        <w:t>也</w:t>
      </w:r>
      <w:r>
        <w:rPr>
          <w:sz w:val="28"/>
          <w:szCs w:val="21"/>
        </w:rPr>
        <w:t>呈波动性变化，</w:t>
      </w:r>
      <w:r>
        <w:rPr>
          <w:rFonts w:hint="eastAsia"/>
          <w:sz w:val="28"/>
          <w:szCs w:val="21"/>
        </w:rPr>
        <w:t>仅2020年未超标</w:t>
      </w:r>
      <w:r>
        <w:rPr>
          <w:sz w:val="28"/>
          <w:szCs w:val="21"/>
        </w:rPr>
        <w:t>。</w:t>
      </w:r>
    </w:p>
    <w:p>
      <w:pPr>
        <w:spacing w:line="360" w:lineRule="auto"/>
        <w:jc w:val="center"/>
        <w:rPr>
          <w:rFonts w:eastAsia="仿宋"/>
          <w:sz w:val="28"/>
          <w:szCs w:val="21"/>
        </w:rPr>
      </w:pPr>
      <w:r>
        <w:rPr>
          <w:rFonts w:eastAsia="仿宋"/>
          <w:sz w:val="28"/>
          <w:szCs w:val="21"/>
        </w:rPr>
        <w:drawing>
          <wp:inline distT="0" distB="0" distL="0" distR="0">
            <wp:extent cx="4859655" cy="3059430"/>
            <wp:effectExtent l="0" t="0" r="0" b="762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preferRelativeResize="0">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4860000" cy="3060000"/>
                    </a:xfrm>
                    <a:prstGeom prst="rect">
                      <a:avLst/>
                    </a:prstGeom>
                    <a:noFill/>
                  </pic:spPr>
                </pic:pic>
              </a:graphicData>
            </a:graphic>
          </wp:inline>
        </w:drawing>
      </w:r>
    </w:p>
    <w:p>
      <w:pPr>
        <w:spacing w:line="480" w:lineRule="auto"/>
        <w:jc w:val="center"/>
        <w:rPr>
          <w:b/>
          <w:color w:val="000000" w:themeColor="text1"/>
          <w:kern w:val="0"/>
          <w:sz w:val="24"/>
          <w14:textFill>
            <w14:solidFill>
              <w14:schemeClr w14:val="tx1"/>
            </w14:solidFill>
          </w14:textFill>
        </w:rPr>
      </w:pPr>
      <w:r>
        <w:rPr>
          <w:b/>
          <w:color w:val="000000" w:themeColor="text1"/>
          <w:kern w:val="0"/>
          <w:sz w:val="24"/>
          <w14:textFill>
            <w14:solidFill>
              <w14:schemeClr w14:val="tx1"/>
            </w14:solidFill>
          </w14:textFill>
        </w:rPr>
        <w:t>图</w:t>
      </w:r>
      <w:r>
        <w:rPr>
          <w:rFonts w:hint="eastAsia"/>
          <w:b/>
          <w:color w:val="000000" w:themeColor="text1"/>
          <w:kern w:val="0"/>
          <w:sz w:val="24"/>
          <w14:textFill>
            <w14:solidFill>
              <w14:schemeClr w14:val="tx1"/>
            </w14:solidFill>
          </w14:textFill>
        </w:rPr>
        <w:t>2-7</w:t>
      </w:r>
      <w:r>
        <w:rPr>
          <w:b/>
          <w:color w:val="000000" w:themeColor="text1"/>
          <w:kern w:val="0"/>
          <w:sz w:val="24"/>
          <w14:textFill>
            <w14:solidFill>
              <w14:schemeClr w14:val="tx1"/>
            </w14:solidFill>
          </w14:textFill>
        </w:rPr>
        <w:t xml:space="preserve"> </w:t>
      </w:r>
      <w:r>
        <w:rPr>
          <w:rFonts w:hint="eastAsia"/>
          <w:b/>
          <w:color w:val="000000" w:themeColor="text1"/>
          <w:kern w:val="0"/>
          <w:sz w:val="24"/>
          <w14:textFill>
            <w14:solidFill>
              <w14:schemeClr w14:val="tx1"/>
            </w14:solidFill>
          </w14:textFill>
        </w:rPr>
        <w:t xml:space="preserve"> </w:t>
      </w:r>
      <w:r>
        <w:rPr>
          <w:b/>
          <w:color w:val="000000" w:themeColor="text1"/>
          <w:kern w:val="0"/>
          <w:sz w:val="24"/>
          <w14:textFill>
            <w14:solidFill>
              <w14:schemeClr w14:val="tx1"/>
            </w14:solidFill>
          </w14:textFill>
        </w:rPr>
        <w:t>2017-20</w:t>
      </w:r>
      <w:r>
        <w:rPr>
          <w:rFonts w:hint="eastAsia"/>
          <w:b/>
          <w:color w:val="000000" w:themeColor="text1"/>
          <w:kern w:val="0"/>
          <w:sz w:val="24"/>
          <w14:textFill>
            <w14:solidFill>
              <w14:schemeClr w14:val="tx1"/>
            </w14:solidFill>
          </w14:textFill>
        </w:rPr>
        <w:t>20</w:t>
      </w:r>
      <w:r>
        <w:rPr>
          <w:b/>
          <w:color w:val="000000" w:themeColor="text1"/>
          <w:kern w:val="0"/>
          <w:sz w:val="24"/>
          <w14:textFill>
            <w14:solidFill>
              <w14:schemeClr w14:val="tx1"/>
            </w14:solidFill>
          </w14:textFill>
        </w:rPr>
        <w:t>年</w:t>
      </w:r>
      <w:r>
        <w:rPr>
          <w:rFonts w:hint="eastAsia"/>
          <w:b/>
          <w:color w:val="000000" w:themeColor="text1"/>
          <w:kern w:val="0"/>
          <w:sz w:val="24"/>
          <w14:textFill>
            <w14:solidFill>
              <w14:schemeClr w14:val="tx1"/>
            </w14:solidFill>
          </w14:textFill>
        </w:rPr>
        <w:t>泗县</w:t>
      </w:r>
      <w:r>
        <w:rPr>
          <w:b/>
          <w:color w:val="000000" w:themeColor="text1"/>
          <w:kern w:val="0"/>
          <w:sz w:val="24"/>
          <w14:textFill>
            <w14:solidFill>
              <w14:schemeClr w14:val="tx1"/>
            </w14:solidFill>
          </w14:textFill>
        </w:rPr>
        <w:t>大气环境质量变化趋势图</w:t>
      </w:r>
    </w:p>
    <w:p>
      <w:pPr>
        <w:jc w:val="center"/>
        <w:rPr>
          <w:b/>
          <w:color w:val="000000" w:themeColor="text1"/>
          <w:kern w:val="0"/>
          <w:sz w:val="24"/>
          <w14:textFill>
            <w14:solidFill>
              <w14:schemeClr w14:val="tx1"/>
            </w14:solidFill>
          </w14:textFill>
        </w:rPr>
      </w:pPr>
    </w:p>
    <w:p>
      <w:pPr>
        <w:spacing w:line="360" w:lineRule="auto"/>
        <w:jc w:val="center"/>
        <w:rPr>
          <w:b/>
          <w:color w:val="000000" w:themeColor="text1"/>
          <w:kern w:val="0"/>
          <w:sz w:val="24"/>
          <w14:textFill>
            <w14:solidFill>
              <w14:schemeClr w14:val="tx1"/>
            </w14:solidFill>
          </w14:textFill>
        </w:rPr>
      </w:pPr>
      <w:r>
        <w:rPr>
          <w:b/>
          <w:color w:val="000000" w:themeColor="text1"/>
          <w:kern w:val="0"/>
          <w:sz w:val="24"/>
          <w14:textFill>
            <w14:solidFill>
              <w14:schemeClr w14:val="tx1"/>
            </w14:solidFill>
          </w14:textFill>
        </w:rPr>
        <w:drawing>
          <wp:inline distT="0" distB="0" distL="0" distR="0">
            <wp:extent cx="4912995" cy="3057525"/>
            <wp:effectExtent l="0" t="0" r="1905"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preferRelativeResize="0">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4917196" cy="3060000"/>
                    </a:xfrm>
                    <a:prstGeom prst="rect">
                      <a:avLst/>
                    </a:prstGeom>
                    <a:noFill/>
                  </pic:spPr>
                </pic:pic>
              </a:graphicData>
            </a:graphic>
          </wp:inline>
        </w:drawing>
      </w:r>
    </w:p>
    <w:p>
      <w:pPr>
        <w:widowControl/>
        <w:jc w:val="center"/>
        <w:rPr>
          <w:b/>
          <w:color w:val="000000" w:themeColor="text1"/>
          <w:kern w:val="0"/>
          <w:sz w:val="24"/>
          <w14:textFill>
            <w14:solidFill>
              <w14:schemeClr w14:val="tx1"/>
            </w14:solidFill>
          </w14:textFill>
        </w:rPr>
      </w:pPr>
      <w:r>
        <w:rPr>
          <w:b/>
          <w:color w:val="000000" w:themeColor="text1"/>
          <w:kern w:val="0"/>
          <w:sz w:val="24"/>
          <w14:textFill>
            <w14:solidFill>
              <w14:schemeClr w14:val="tx1"/>
            </w14:solidFill>
          </w14:textFill>
        </w:rPr>
        <w:t>图</w:t>
      </w:r>
      <w:r>
        <w:rPr>
          <w:rFonts w:hint="eastAsia"/>
          <w:b/>
          <w:color w:val="000000" w:themeColor="text1"/>
          <w:kern w:val="0"/>
          <w:sz w:val="24"/>
          <w14:textFill>
            <w14:solidFill>
              <w14:schemeClr w14:val="tx1"/>
            </w14:solidFill>
          </w14:textFill>
        </w:rPr>
        <w:t>2-8</w:t>
      </w:r>
      <w:r>
        <w:rPr>
          <w:b/>
          <w:color w:val="000000" w:themeColor="text1"/>
          <w:kern w:val="0"/>
          <w:sz w:val="24"/>
          <w14:textFill>
            <w14:solidFill>
              <w14:schemeClr w14:val="tx1"/>
            </w14:solidFill>
          </w14:textFill>
        </w:rPr>
        <w:t xml:space="preserve"> </w:t>
      </w:r>
      <w:r>
        <w:rPr>
          <w:rFonts w:hint="eastAsia"/>
          <w:b/>
          <w:color w:val="000000" w:themeColor="text1"/>
          <w:kern w:val="0"/>
          <w:sz w:val="24"/>
          <w14:textFill>
            <w14:solidFill>
              <w14:schemeClr w14:val="tx1"/>
            </w14:solidFill>
          </w14:textFill>
        </w:rPr>
        <w:t xml:space="preserve"> </w:t>
      </w:r>
      <w:r>
        <w:rPr>
          <w:b/>
          <w:color w:val="000000" w:themeColor="text1"/>
          <w:kern w:val="0"/>
          <w:sz w:val="24"/>
          <w14:textFill>
            <w14:solidFill>
              <w14:schemeClr w14:val="tx1"/>
            </w14:solidFill>
          </w14:textFill>
        </w:rPr>
        <w:t>2017-20</w:t>
      </w:r>
      <w:r>
        <w:rPr>
          <w:rFonts w:hint="eastAsia"/>
          <w:b/>
          <w:color w:val="000000" w:themeColor="text1"/>
          <w:kern w:val="0"/>
          <w:sz w:val="24"/>
          <w14:textFill>
            <w14:solidFill>
              <w14:schemeClr w14:val="tx1"/>
            </w14:solidFill>
          </w14:textFill>
        </w:rPr>
        <w:t>20</w:t>
      </w:r>
      <w:r>
        <w:rPr>
          <w:b/>
          <w:color w:val="000000" w:themeColor="text1"/>
          <w:kern w:val="0"/>
          <w:sz w:val="24"/>
          <w14:textFill>
            <w14:solidFill>
              <w14:schemeClr w14:val="tx1"/>
            </w14:solidFill>
          </w14:textFill>
        </w:rPr>
        <w:t>年</w:t>
      </w:r>
      <w:r>
        <w:rPr>
          <w:rFonts w:hint="eastAsia"/>
          <w:b/>
          <w:color w:val="000000" w:themeColor="text1"/>
          <w:kern w:val="0"/>
          <w:sz w:val="24"/>
          <w14:textFill>
            <w14:solidFill>
              <w14:schemeClr w14:val="tx1"/>
            </w14:solidFill>
          </w14:textFill>
        </w:rPr>
        <w:t>灵璧县</w:t>
      </w:r>
      <w:r>
        <w:rPr>
          <w:b/>
          <w:color w:val="000000" w:themeColor="text1"/>
          <w:kern w:val="0"/>
          <w:sz w:val="24"/>
          <w14:textFill>
            <w14:solidFill>
              <w14:schemeClr w14:val="tx1"/>
            </w14:solidFill>
          </w14:textFill>
        </w:rPr>
        <w:t>大气环境质量变化趋势图</w:t>
      </w:r>
    </w:p>
    <w:p>
      <w:pPr>
        <w:widowControl/>
        <w:jc w:val="center"/>
        <w:rPr>
          <w:b/>
          <w:color w:val="000000" w:themeColor="text1"/>
          <w:kern w:val="0"/>
          <w:sz w:val="24"/>
          <w14:textFill>
            <w14:solidFill>
              <w14:schemeClr w14:val="tx1"/>
            </w14:solidFill>
          </w14:textFill>
        </w:rPr>
      </w:pPr>
    </w:p>
    <w:p>
      <w:pPr>
        <w:pStyle w:val="4"/>
        <w:spacing w:before="312" w:after="312"/>
        <w:rPr>
          <w:rFonts w:eastAsiaTheme="minorEastAsia"/>
        </w:rPr>
      </w:pPr>
      <w:bookmarkStart w:id="117" w:name="_Toc84536528"/>
      <w:r>
        <w:rPr>
          <w:rFonts w:hint="eastAsia" w:eastAsiaTheme="minorEastAsia"/>
        </w:rPr>
        <w:t xml:space="preserve">2.5 </w:t>
      </w:r>
      <w:r>
        <w:rPr>
          <w:rFonts w:hint="eastAsia" w:asciiTheme="minorEastAsia" w:hAnsiTheme="minorEastAsia" w:eastAsiaTheme="minorEastAsia"/>
        </w:rPr>
        <w:t>大运河宿州段核心区土壤</w:t>
      </w:r>
      <w:r>
        <w:rPr>
          <w:rFonts w:asciiTheme="minorEastAsia" w:hAnsiTheme="minorEastAsia" w:eastAsiaTheme="minorEastAsia"/>
        </w:rPr>
        <w:t>环境质量</w:t>
      </w:r>
      <w:r>
        <w:rPr>
          <w:rFonts w:hint="eastAsia" w:asciiTheme="minorEastAsia" w:hAnsiTheme="minorEastAsia" w:eastAsiaTheme="minorEastAsia"/>
        </w:rPr>
        <w:t>总体状</w:t>
      </w:r>
      <w:r>
        <w:rPr>
          <w:rFonts w:asciiTheme="minorEastAsia" w:hAnsiTheme="minorEastAsia" w:eastAsiaTheme="minorEastAsia"/>
        </w:rPr>
        <w:t>况</w:t>
      </w:r>
      <w:bookmarkEnd w:id="117"/>
    </w:p>
    <w:p>
      <w:pPr>
        <w:spacing w:line="360" w:lineRule="auto"/>
        <w:ind w:firstLine="560" w:firstLineChars="200"/>
        <w:rPr>
          <w:sz w:val="28"/>
          <w:szCs w:val="21"/>
        </w:rPr>
      </w:pPr>
      <w:r>
        <w:rPr>
          <w:rFonts w:hint="eastAsia"/>
          <w:sz w:val="28"/>
          <w:szCs w:val="21"/>
        </w:rPr>
        <w:t>大运河宿州段核心区耕地安全利用率100%；污染地块安全利用100%，完成8个疑似污染地块调查、1个污染地块修复治理。</w:t>
      </w:r>
    </w:p>
    <w:p>
      <w:pPr>
        <w:pStyle w:val="3"/>
        <w:spacing w:before="374" w:beforeLines="120" w:after="374" w:afterLines="120"/>
      </w:pPr>
      <w:bookmarkStart w:id="118" w:name="_Toc84536529"/>
      <w:r>
        <w:rPr>
          <w:rFonts w:hint="eastAsia"/>
        </w:rPr>
        <w:t>3 大运河宿州段生态</w:t>
      </w:r>
      <w:r>
        <w:t>环境现状问题及</w:t>
      </w:r>
      <w:r>
        <w:rPr>
          <w:rFonts w:hint="eastAsia"/>
        </w:rPr>
        <w:t>成</w:t>
      </w:r>
      <w:r>
        <w:t>因分析</w:t>
      </w:r>
      <w:bookmarkEnd w:id="118"/>
    </w:p>
    <w:p>
      <w:pPr>
        <w:pStyle w:val="4"/>
        <w:spacing w:before="312" w:after="312"/>
        <w:rPr>
          <w:rFonts w:eastAsiaTheme="minorEastAsia"/>
        </w:rPr>
      </w:pPr>
      <w:bookmarkStart w:id="119" w:name="_Toc84536530"/>
      <w:r>
        <w:rPr>
          <w:rFonts w:hint="eastAsia" w:eastAsiaTheme="minorEastAsia"/>
        </w:rPr>
        <w:t xml:space="preserve">3.1 </w:t>
      </w:r>
      <w:r>
        <w:rPr>
          <w:rFonts w:hint="eastAsia" w:asciiTheme="minorEastAsia" w:hAnsiTheme="minorEastAsia" w:eastAsiaTheme="minorEastAsia"/>
        </w:rPr>
        <w:t>大运河无水河段</w:t>
      </w:r>
      <w:bookmarkEnd w:id="119"/>
    </w:p>
    <w:p>
      <w:pPr>
        <w:pStyle w:val="25"/>
        <w:spacing w:before="156" w:after="156"/>
        <w:ind w:left="0" w:leftChars="0"/>
      </w:pPr>
      <w:bookmarkStart w:id="120" w:name="_Toc84536531"/>
      <w:r>
        <w:rPr>
          <w:rFonts w:hint="eastAsia"/>
        </w:rPr>
        <w:t>3.1.1 采煤塌陷区</w:t>
      </w:r>
      <w:bookmarkEnd w:id="120"/>
    </w:p>
    <w:p>
      <w:pPr>
        <w:spacing w:line="360" w:lineRule="auto"/>
        <w:ind w:firstLine="560" w:firstLineChars="200"/>
        <w:rPr>
          <w:rFonts w:eastAsiaTheme="minorEastAsia"/>
          <w:sz w:val="28"/>
          <w:szCs w:val="28"/>
        </w:rPr>
      </w:pPr>
      <w:r>
        <w:rPr>
          <w:rFonts w:hint="eastAsia" w:eastAsiaTheme="minorEastAsia"/>
          <w:sz w:val="28"/>
          <w:szCs w:val="28"/>
        </w:rPr>
        <w:t>宿州市朱仙庄采煤沉陷区综合治理项目位于宿州市埇桥区，朱仙庄煤矿北翼，涵盖沉陷区与沉陷影响区。项目北至宿州大道，西至东三环，南至原省道S303，东至乡道172，总面积约19.55 km</w:t>
      </w:r>
      <w:r>
        <w:rPr>
          <w:rFonts w:hint="eastAsia" w:eastAsiaTheme="minorEastAsia"/>
          <w:sz w:val="28"/>
          <w:szCs w:val="28"/>
          <w:vertAlign w:val="superscript"/>
        </w:rPr>
        <w:t>2</w:t>
      </w:r>
      <w:r>
        <w:rPr>
          <w:rFonts w:hint="eastAsia" w:eastAsiaTheme="minorEastAsia"/>
          <w:sz w:val="28"/>
          <w:szCs w:val="28"/>
        </w:rPr>
        <w:t>。</w:t>
      </w:r>
    </w:p>
    <w:p>
      <w:pPr>
        <w:spacing w:line="360" w:lineRule="auto"/>
        <w:ind w:firstLine="560" w:firstLineChars="200"/>
        <w:rPr>
          <w:rFonts w:eastAsiaTheme="minorEastAsia"/>
          <w:sz w:val="28"/>
          <w:szCs w:val="28"/>
        </w:rPr>
      </w:pPr>
      <w:r>
        <w:rPr>
          <w:rFonts w:hint="eastAsia" w:eastAsiaTheme="minorEastAsia"/>
          <w:sz w:val="28"/>
          <w:szCs w:val="28"/>
        </w:rPr>
        <w:t>矿山开采引发地面沉陷、地裂缝等地质灾害。项目范围内因采矿造成的地面沉陷面积638.11 hm</w:t>
      </w:r>
      <w:r>
        <w:rPr>
          <w:rFonts w:hint="eastAsia" w:eastAsiaTheme="minorEastAsia"/>
          <w:sz w:val="28"/>
          <w:szCs w:val="28"/>
          <w:vertAlign w:val="superscript"/>
        </w:rPr>
        <w:t>2</w:t>
      </w:r>
      <w:r>
        <w:rPr>
          <w:rFonts w:hint="eastAsia" w:eastAsiaTheme="minorEastAsia"/>
          <w:sz w:val="28"/>
          <w:szCs w:val="28"/>
        </w:rPr>
        <w:t>，其中2015年前形成的沉陷区面积为610.96 hm</w:t>
      </w:r>
      <w:r>
        <w:rPr>
          <w:rFonts w:hint="eastAsia" w:eastAsiaTheme="minorEastAsia"/>
          <w:sz w:val="28"/>
          <w:szCs w:val="28"/>
          <w:vertAlign w:val="superscript"/>
        </w:rPr>
        <w:t>2</w:t>
      </w:r>
      <w:r>
        <w:rPr>
          <w:rFonts w:hint="eastAsia" w:eastAsiaTheme="minorEastAsia"/>
          <w:sz w:val="28"/>
          <w:szCs w:val="28"/>
        </w:rPr>
        <w:t>，2015-2017年形成的沉陷区面积为67.43 hm</w:t>
      </w:r>
      <w:r>
        <w:rPr>
          <w:rFonts w:hint="eastAsia" w:eastAsiaTheme="minorEastAsia"/>
          <w:sz w:val="28"/>
          <w:szCs w:val="28"/>
          <w:vertAlign w:val="superscript"/>
        </w:rPr>
        <w:t>2</w:t>
      </w:r>
      <w:r>
        <w:rPr>
          <w:rFonts w:hint="eastAsia" w:eastAsiaTheme="minorEastAsia"/>
          <w:sz w:val="28"/>
          <w:szCs w:val="28"/>
        </w:rPr>
        <w:t>（二者重叠区域40.28 hm</w:t>
      </w:r>
      <w:r>
        <w:rPr>
          <w:rFonts w:hint="eastAsia" w:eastAsiaTheme="minorEastAsia"/>
          <w:sz w:val="28"/>
          <w:szCs w:val="28"/>
          <w:vertAlign w:val="superscript"/>
        </w:rPr>
        <w:t>2</w:t>
      </w:r>
      <w:r>
        <w:rPr>
          <w:rFonts w:hint="eastAsia" w:eastAsiaTheme="minorEastAsia"/>
          <w:sz w:val="28"/>
          <w:szCs w:val="28"/>
        </w:rPr>
        <w:t>），最大下沉值约14.6 m，位于II86采区。地面沉陷地质灾害在项目区内形成大量水塘、沉陷洼地及滩地。工作区因采矿共形成6个主要积水区，沉陷水域面积约271.92 hm</w:t>
      </w:r>
      <w:r>
        <w:rPr>
          <w:rFonts w:hint="eastAsia" w:eastAsiaTheme="minorEastAsia"/>
          <w:sz w:val="28"/>
          <w:szCs w:val="28"/>
          <w:vertAlign w:val="superscript"/>
        </w:rPr>
        <w:t>2</w:t>
      </w:r>
      <w:r>
        <w:rPr>
          <w:rFonts w:hint="eastAsia" w:eastAsiaTheme="minorEastAsia"/>
          <w:sz w:val="28"/>
          <w:szCs w:val="28"/>
        </w:rPr>
        <w:t>。</w:t>
      </w:r>
      <w:r>
        <w:rPr>
          <w:rFonts w:eastAsiaTheme="minorEastAsia"/>
          <w:sz w:val="28"/>
          <w:szCs w:val="28"/>
        </w:rPr>
        <w:t>地面</w:t>
      </w:r>
      <w:r>
        <w:rPr>
          <w:rFonts w:hint="eastAsia" w:eastAsiaTheme="minorEastAsia"/>
          <w:sz w:val="28"/>
          <w:szCs w:val="28"/>
        </w:rPr>
        <w:t>沉</w:t>
      </w:r>
      <w:r>
        <w:rPr>
          <w:rFonts w:eastAsiaTheme="minorEastAsia"/>
          <w:sz w:val="28"/>
          <w:szCs w:val="28"/>
        </w:rPr>
        <w:t>陷及积水范围</w:t>
      </w:r>
      <w:r>
        <w:rPr>
          <w:rFonts w:hint="eastAsia" w:eastAsiaTheme="minorEastAsia"/>
          <w:sz w:val="28"/>
          <w:szCs w:val="28"/>
        </w:rPr>
        <w:t>见图3-1。</w:t>
      </w:r>
    </w:p>
    <w:p/>
    <w:p>
      <w:pPr>
        <w:jc w:val="center"/>
      </w:pPr>
    </w:p>
    <w:p>
      <w:pPr>
        <w:jc w:val="center"/>
      </w:pPr>
      <w:r>
        <w:rPr>
          <w:rFonts w:hint="eastAsia"/>
        </w:rPr>
        <w:drawing>
          <wp:inline distT="0" distB="0" distL="0" distR="0">
            <wp:extent cx="5162550" cy="6353175"/>
            <wp:effectExtent l="0" t="0" r="0" b="9525"/>
            <wp:docPr id="17" name="图片 17" descr="附件 图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附件 图纸"/>
                    <pic:cNvPicPr>
                      <a:picLocks noChangeAspect="1" noChangeArrowheads="1"/>
                    </pic:cNvPicPr>
                  </pic:nvPicPr>
                  <pic:blipFill>
                    <a:blip r:embed="rId47">
                      <a:extLst>
                        <a:ext uri="{28A0092B-C50C-407E-A947-70E740481C1C}">
                          <a14:useLocalDpi xmlns:a14="http://schemas.microsoft.com/office/drawing/2010/main" val="0"/>
                        </a:ext>
                      </a:extLst>
                    </a:blip>
                    <a:srcRect l="893" t="780" r="11592" b="16809"/>
                    <a:stretch>
                      <a:fillRect/>
                    </a:stretch>
                  </pic:blipFill>
                  <pic:spPr>
                    <a:xfrm>
                      <a:off x="0" y="0"/>
                      <a:ext cx="5162550" cy="6353175"/>
                    </a:xfrm>
                    <a:prstGeom prst="rect">
                      <a:avLst/>
                    </a:prstGeom>
                    <a:noFill/>
                    <a:ln>
                      <a:noFill/>
                    </a:ln>
                  </pic:spPr>
                </pic:pic>
              </a:graphicData>
            </a:graphic>
          </wp:inline>
        </w:drawing>
      </w:r>
    </w:p>
    <w:p>
      <w:pPr>
        <w:spacing w:line="360" w:lineRule="auto"/>
        <w:jc w:val="center"/>
        <w:rPr>
          <w:b/>
          <w:bCs/>
          <w:sz w:val="24"/>
        </w:rPr>
      </w:pPr>
      <w:r>
        <w:rPr>
          <w:rFonts w:hint="eastAsia"/>
          <w:b/>
          <w:bCs/>
          <w:sz w:val="24"/>
        </w:rPr>
        <w:t>图3-1</w:t>
      </w:r>
      <w:r>
        <w:rPr>
          <w:b/>
          <w:bCs/>
          <w:sz w:val="24"/>
        </w:rPr>
        <w:t xml:space="preserve">  </w:t>
      </w:r>
      <w:r>
        <w:rPr>
          <w:rFonts w:hint="eastAsia"/>
          <w:b/>
          <w:bCs/>
          <w:sz w:val="24"/>
        </w:rPr>
        <w:t>朱仙庄采煤塌陷区</w:t>
      </w:r>
      <w:r>
        <w:rPr>
          <w:b/>
          <w:bCs/>
          <w:sz w:val="24"/>
        </w:rPr>
        <w:t>地面</w:t>
      </w:r>
      <w:r>
        <w:rPr>
          <w:rFonts w:hint="eastAsia"/>
          <w:b/>
          <w:bCs/>
          <w:sz w:val="24"/>
        </w:rPr>
        <w:t>沉</w:t>
      </w:r>
      <w:r>
        <w:rPr>
          <w:b/>
          <w:bCs/>
          <w:sz w:val="24"/>
        </w:rPr>
        <w:t>陷及积水范围</w:t>
      </w:r>
      <w:r>
        <w:rPr>
          <w:rFonts w:hint="eastAsia"/>
          <w:b/>
          <w:bCs/>
          <w:sz w:val="24"/>
        </w:rPr>
        <w:t>图</w:t>
      </w:r>
    </w:p>
    <w:p>
      <w:pPr>
        <w:jc w:val="center"/>
        <w:rPr>
          <w:b/>
          <w:bCs/>
          <w:sz w:val="24"/>
        </w:rPr>
      </w:pPr>
    </w:p>
    <w:p>
      <w:pPr>
        <w:pStyle w:val="25"/>
        <w:spacing w:before="156" w:after="156"/>
        <w:ind w:left="0" w:leftChars="0"/>
      </w:pPr>
      <w:bookmarkStart w:id="121" w:name="_Toc84536532"/>
      <w:r>
        <w:rPr>
          <w:rFonts w:hint="eastAsia"/>
        </w:rPr>
        <w:t>3.1.2 农业面源</w:t>
      </w:r>
      <w:bookmarkEnd w:id="121"/>
    </w:p>
    <w:p>
      <w:pPr>
        <w:spacing w:line="360" w:lineRule="auto"/>
        <w:ind w:firstLine="560" w:firstLineChars="200"/>
        <w:rPr>
          <w:rFonts w:eastAsiaTheme="minorEastAsia"/>
          <w:sz w:val="28"/>
          <w:szCs w:val="28"/>
        </w:rPr>
      </w:pPr>
      <w:r>
        <w:rPr>
          <w:rFonts w:hint="eastAsia" w:eastAsiaTheme="minorEastAsia"/>
          <w:sz w:val="28"/>
          <w:szCs w:val="28"/>
        </w:rPr>
        <w:t>大运河无水河段所涉及的乡镇农村生活污水、垃圾收集处理缺少专项规划，建设管理不统一，处理模式单一。农村生活污水多数未经处理，农村生活垃圾集中处理率低，垃圾分类减量和资源回收利用不足；部分乡镇污水处理厂运行负荷率不高，大运河无水河段乡镇污水处理厂基本信息如表3-1所示，其中朱仙庄镇污水纳入循环园区污水处理厂处理，灵城镇无建设任务，污水纳入灵璧县经济开发区污水处理厂处理。</w:t>
      </w:r>
    </w:p>
    <w:p>
      <w:pPr>
        <w:spacing w:line="360" w:lineRule="auto"/>
        <w:jc w:val="center"/>
        <w:rPr>
          <w:b/>
          <w:bCs/>
          <w:sz w:val="24"/>
        </w:rPr>
      </w:pPr>
      <w:r>
        <w:rPr>
          <w:b/>
          <w:bCs/>
          <w:sz w:val="24"/>
        </w:rPr>
        <w:t>表</w:t>
      </w:r>
      <w:r>
        <w:rPr>
          <w:rFonts w:hint="eastAsia"/>
          <w:b/>
          <w:bCs/>
          <w:sz w:val="24"/>
        </w:rPr>
        <w:t>3-1</w:t>
      </w:r>
      <w:r>
        <w:rPr>
          <w:b/>
          <w:bCs/>
          <w:sz w:val="24"/>
        </w:rPr>
        <w:t xml:space="preserve">  </w:t>
      </w:r>
      <w:r>
        <w:rPr>
          <w:rFonts w:hint="eastAsia"/>
          <w:b/>
          <w:bCs/>
          <w:sz w:val="24"/>
        </w:rPr>
        <w:t>乡镇生活污水处理厂信息</w:t>
      </w:r>
      <w:r>
        <w:rPr>
          <w:b/>
          <w:bCs/>
          <w:sz w:val="24"/>
        </w:rPr>
        <w:t>一览表</w:t>
      </w:r>
    </w:p>
    <w:tbl>
      <w:tblPr>
        <w:tblStyle w:val="28"/>
        <w:tblW w:w="8528" w:type="dxa"/>
        <w:tblInd w:w="0" w:type="dxa"/>
        <w:tblLayout w:type="fixed"/>
        <w:tblCellMar>
          <w:top w:w="0" w:type="dxa"/>
          <w:left w:w="108" w:type="dxa"/>
          <w:bottom w:w="0" w:type="dxa"/>
          <w:right w:w="108" w:type="dxa"/>
        </w:tblCellMar>
      </w:tblPr>
      <w:tblGrid>
        <w:gridCol w:w="457"/>
        <w:gridCol w:w="555"/>
        <w:gridCol w:w="819"/>
        <w:gridCol w:w="978"/>
        <w:gridCol w:w="938"/>
        <w:gridCol w:w="935"/>
        <w:gridCol w:w="983"/>
        <w:gridCol w:w="1048"/>
        <w:gridCol w:w="939"/>
        <w:gridCol w:w="876"/>
      </w:tblGrid>
      <w:tr>
        <w:tblPrEx>
          <w:tblLayout w:type="fixed"/>
          <w:tblCellMar>
            <w:top w:w="0" w:type="dxa"/>
            <w:left w:w="108" w:type="dxa"/>
            <w:bottom w:w="0" w:type="dxa"/>
            <w:right w:w="108" w:type="dxa"/>
          </w:tblCellMar>
        </w:tblPrEx>
        <w:trPr>
          <w:trHeight w:val="312" w:hRule="atLeast"/>
        </w:trPr>
        <w:tc>
          <w:tcPr>
            <w:tcW w:w="45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序号</w:t>
            </w:r>
          </w:p>
        </w:tc>
        <w:tc>
          <w:tcPr>
            <w:tcW w:w="555"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县区</w:t>
            </w:r>
          </w:p>
        </w:tc>
        <w:tc>
          <w:tcPr>
            <w:tcW w:w="819"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乡镇</w:t>
            </w:r>
          </w:p>
        </w:tc>
        <w:tc>
          <w:tcPr>
            <w:tcW w:w="97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处理</w:t>
            </w:r>
          </w:p>
          <w:p>
            <w:pPr>
              <w:widowControl/>
              <w:jc w:val="center"/>
              <w:rPr>
                <w:b/>
                <w:bCs/>
                <w:color w:val="000000"/>
                <w:kern w:val="0"/>
                <w:sz w:val="24"/>
              </w:rPr>
            </w:pPr>
            <w:r>
              <w:rPr>
                <w:b/>
                <w:bCs/>
                <w:color w:val="000000"/>
                <w:kern w:val="0"/>
                <w:sz w:val="24"/>
              </w:rPr>
              <w:t>规模</w:t>
            </w:r>
          </w:p>
          <w:p>
            <w:pPr>
              <w:widowControl/>
              <w:jc w:val="center"/>
              <w:rPr>
                <w:b/>
                <w:bCs/>
                <w:color w:val="000000"/>
                <w:kern w:val="0"/>
                <w:sz w:val="24"/>
              </w:rPr>
            </w:pPr>
            <w:r>
              <w:rPr>
                <w:rFonts w:hint="eastAsia"/>
                <w:b/>
                <w:bCs/>
                <w:color w:val="000000"/>
                <w:kern w:val="0"/>
                <w:sz w:val="24"/>
              </w:rPr>
              <w:t>（</w:t>
            </w:r>
            <w:r>
              <w:rPr>
                <w:b/>
                <w:bCs/>
                <w:color w:val="000000"/>
                <w:kern w:val="0"/>
                <w:sz w:val="24"/>
              </w:rPr>
              <w:t>t/d</w:t>
            </w:r>
            <w:r>
              <w:rPr>
                <w:rFonts w:hint="eastAsia"/>
                <w:b/>
                <w:bCs/>
                <w:color w:val="000000"/>
                <w:kern w:val="0"/>
                <w:sz w:val="24"/>
              </w:rPr>
              <w:t>）</w:t>
            </w:r>
          </w:p>
        </w:tc>
        <w:tc>
          <w:tcPr>
            <w:tcW w:w="93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运行负荷率</w:t>
            </w:r>
          </w:p>
          <w:p>
            <w:pPr>
              <w:widowControl/>
              <w:jc w:val="center"/>
              <w:rPr>
                <w:b/>
                <w:bCs/>
                <w:color w:val="000000"/>
                <w:kern w:val="0"/>
                <w:sz w:val="24"/>
              </w:rPr>
            </w:pPr>
            <w:r>
              <w:rPr>
                <w:rFonts w:hint="eastAsia"/>
                <w:b/>
                <w:bCs/>
                <w:color w:val="000000"/>
                <w:kern w:val="0"/>
                <w:sz w:val="24"/>
              </w:rPr>
              <w:t>（%）</w:t>
            </w:r>
          </w:p>
        </w:tc>
        <w:tc>
          <w:tcPr>
            <w:tcW w:w="93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已完成主管网(km)</w:t>
            </w:r>
          </w:p>
        </w:tc>
        <w:tc>
          <w:tcPr>
            <w:tcW w:w="983"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已完成支管网(km)</w:t>
            </w:r>
          </w:p>
        </w:tc>
        <w:tc>
          <w:tcPr>
            <w:tcW w:w="104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已完成接户井</w:t>
            </w:r>
          </w:p>
          <w:p>
            <w:pPr>
              <w:widowControl/>
              <w:jc w:val="center"/>
              <w:rPr>
                <w:b/>
                <w:bCs/>
                <w:color w:val="000000"/>
                <w:kern w:val="0"/>
                <w:sz w:val="24"/>
              </w:rPr>
            </w:pPr>
            <w:r>
              <w:rPr>
                <w:b/>
                <w:bCs/>
                <w:color w:val="000000"/>
                <w:kern w:val="0"/>
                <w:sz w:val="24"/>
              </w:rPr>
              <w:t>（个）</w:t>
            </w:r>
          </w:p>
        </w:tc>
        <w:tc>
          <w:tcPr>
            <w:tcW w:w="939"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已接入户数（户）</w:t>
            </w:r>
          </w:p>
        </w:tc>
        <w:tc>
          <w:tcPr>
            <w:tcW w:w="87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管网覆盖率(%)</w:t>
            </w:r>
          </w:p>
        </w:tc>
      </w:tr>
      <w:tr>
        <w:tblPrEx>
          <w:tblLayout w:type="fixed"/>
          <w:tblCellMar>
            <w:top w:w="0" w:type="dxa"/>
            <w:left w:w="108" w:type="dxa"/>
            <w:bottom w:w="0" w:type="dxa"/>
            <w:right w:w="108" w:type="dxa"/>
          </w:tblCellMar>
        </w:tblPrEx>
        <w:trPr>
          <w:trHeight w:val="312" w:hRule="atLeast"/>
        </w:trPr>
        <w:tc>
          <w:tcPr>
            <w:tcW w:w="45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555" w:type="dxa"/>
            <w:vMerge w:val="continue"/>
            <w:tcBorders>
              <w:top w:val="single" w:color="auto" w:sz="4" w:space="0"/>
              <w:left w:val="single" w:color="auto" w:sz="4" w:space="0"/>
              <w:bottom w:val="single" w:color="000000" w:sz="4" w:space="0"/>
              <w:right w:val="single" w:color="auto" w:sz="4" w:space="0"/>
            </w:tcBorders>
            <w:vAlign w:val="center"/>
          </w:tcPr>
          <w:p>
            <w:pPr>
              <w:widowControl/>
              <w:jc w:val="left"/>
              <w:rPr>
                <w:rFonts w:ascii="宋体" w:hAnsi="宋体" w:cs="宋体"/>
                <w:b/>
                <w:bCs/>
                <w:color w:val="000000"/>
                <w:kern w:val="0"/>
                <w:sz w:val="24"/>
              </w:rPr>
            </w:pPr>
          </w:p>
        </w:tc>
        <w:tc>
          <w:tcPr>
            <w:tcW w:w="819" w:type="dxa"/>
            <w:vMerge w:val="continue"/>
            <w:tcBorders>
              <w:top w:val="single" w:color="auto" w:sz="4" w:space="0"/>
              <w:left w:val="single" w:color="auto" w:sz="4" w:space="0"/>
              <w:bottom w:val="single" w:color="000000" w:sz="4" w:space="0"/>
              <w:right w:val="single" w:color="auto" w:sz="4" w:space="0"/>
            </w:tcBorders>
            <w:vAlign w:val="center"/>
          </w:tcPr>
          <w:p>
            <w:pPr>
              <w:widowControl/>
              <w:jc w:val="left"/>
              <w:rPr>
                <w:rFonts w:ascii="宋体" w:hAnsi="宋体" w:cs="宋体"/>
                <w:b/>
                <w:bCs/>
                <w:color w:val="000000"/>
                <w:kern w:val="0"/>
                <w:sz w:val="24"/>
              </w:rPr>
            </w:pPr>
          </w:p>
        </w:tc>
        <w:tc>
          <w:tcPr>
            <w:tcW w:w="97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93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935"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983"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104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939"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876"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r>
      <w:tr>
        <w:tblPrEx>
          <w:tblLayout w:type="fixed"/>
          <w:tblCellMar>
            <w:top w:w="0" w:type="dxa"/>
            <w:left w:w="108" w:type="dxa"/>
            <w:bottom w:w="0" w:type="dxa"/>
            <w:right w:w="108" w:type="dxa"/>
          </w:tblCellMar>
        </w:tblPrEx>
        <w:trPr>
          <w:trHeight w:val="622" w:hRule="atLeast"/>
        </w:trPr>
        <w:tc>
          <w:tcPr>
            <w:tcW w:w="45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555" w:type="dxa"/>
            <w:vMerge w:val="continue"/>
            <w:tcBorders>
              <w:top w:val="single" w:color="auto" w:sz="4" w:space="0"/>
              <w:left w:val="single" w:color="auto" w:sz="4" w:space="0"/>
              <w:bottom w:val="single" w:color="000000" w:sz="4" w:space="0"/>
              <w:right w:val="single" w:color="auto" w:sz="4" w:space="0"/>
            </w:tcBorders>
            <w:vAlign w:val="center"/>
          </w:tcPr>
          <w:p>
            <w:pPr>
              <w:widowControl/>
              <w:jc w:val="left"/>
              <w:rPr>
                <w:rFonts w:ascii="宋体" w:hAnsi="宋体" w:cs="宋体"/>
                <w:b/>
                <w:bCs/>
                <w:color w:val="000000"/>
                <w:kern w:val="0"/>
                <w:sz w:val="24"/>
              </w:rPr>
            </w:pPr>
          </w:p>
        </w:tc>
        <w:tc>
          <w:tcPr>
            <w:tcW w:w="819" w:type="dxa"/>
            <w:vMerge w:val="continue"/>
            <w:tcBorders>
              <w:top w:val="single" w:color="auto" w:sz="4" w:space="0"/>
              <w:left w:val="single" w:color="auto" w:sz="4" w:space="0"/>
              <w:bottom w:val="single" w:color="000000" w:sz="4" w:space="0"/>
              <w:right w:val="single" w:color="auto" w:sz="4" w:space="0"/>
            </w:tcBorders>
            <w:vAlign w:val="center"/>
          </w:tcPr>
          <w:p>
            <w:pPr>
              <w:widowControl/>
              <w:jc w:val="left"/>
              <w:rPr>
                <w:rFonts w:ascii="宋体" w:hAnsi="宋体" w:cs="宋体"/>
                <w:b/>
                <w:bCs/>
                <w:color w:val="000000"/>
                <w:kern w:val="0"/>
                <w:sz w:val="24"/>
              </w:rPr>
            </w:pPr>
          </w:p>
        </w:tc>
        <w:tc>
          <w:tcPr>
            <w:tcW w:w="97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93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935"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983"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104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939"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876"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r>
      <w:tr>
        <w:tblPrEx>
          <w:tblLayout w:type="fixed"/>
          <w:tblCellMar>
            <w:top w:w="0" w:type="dxa"/>
            <w:left w:w="108" w:type="dxa"/>
            <w:bottom w:w="0" w:type="dxa"/>
            <w:right w:w="108" w:type="dxa"/>
          </w:tblCellMar>
        </w:tblPrEx>
        <w:trPr>
          <w:trHeight w:val="285" w:hRule="atLeast"/>
        </w:trPr>
        <w:tc>
          <w:tcPr>
            <w:tcW w:w="457"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1</w:t>
            </w:r>
          </w:p>
        </w:tc>
        <w:tc>
          <w:tcPr>
            <w:tcW w:w="555"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埇桥区</w:t>
            </w:r>
          </w:p>
        </w:tc>
        <w:tc>
          <w:tcPr>
            <w:tcW w:w="819"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大店镇</w:t>
            </w:r>
          </w:p>
        </w:tc>
        <w:tc>
          <w:tcPr>
            <w:tcW w:w="978"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color w:val="000000"/>
                <w:kern w:val="0"/>
                <w:sz w:val="24"/>
              </w:rPr>
              <w:t>700</w:t>
            </w:r>
          </w:p>
        </w:tc>
        <w:tc>
          <w:tcPr>
            <w:tcW w:w="938"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5</w:t>
            </w:r>
          </w:p>
        </w:tc>
        <w:tc>
          <w:tcPr>
            <w:tcW w:w="935"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4.</w:t>
            </w:r>
            <w:r>
              <w:rPr>
                <w:rFonts w:hint="eastAsia"/>
                <w:color w:val="000000"/>
                <w:kern w:val="0"/>
                <w:sz w:val="24"/>
              </w:rPr>
              <w:t>187</w:t>
            </w:r>
          </w:p>
        </w:tc>
        <w:tc>
          <w:tcPr>
            <w:tcW w:w="983"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6.232</w:t>
            </w:r>
          </w:p>
        </w:tc>
        <w:tc>
          <w:tcPr>
            <w:tcW w:w="1048"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214</w:t>
            </w:r>
          </w:p>
        </w:tc>
        <w:tc>
          <w:tcPr>
            <w:tcW w:w="939"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1163</w:t>
            </w:r>
          </w:p>
        </w:tc>
        <w:tc>
          <w:tcPr>
            <w:tcW w:w="876"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105.94</w:t>
            </w:r>
          </w:p>
        </w:tc>
      </w:tr>
      <w:tr>
        <w:tblPrEx>
          <w:tblLayout w:type="fixed"/>
          <w:tblCellMar>
            <w:top w:w="0" w:type="dxa"/>
            <w:left w:w="108" w:type="dxa"/>
            <w:bottom w:w="0" w:type="dxa"/>
            <w:right w:w="108" w:type="dxa"/>
          </w:tblCellMar>
        </w:tblPrEx>
        <w:trPr>
          <w:trHeight w:val="285" w:hRule="atLeast"/>
        </w:trPr>
        <w:tc>
          <w:tcPr>
            <w:tcW w:w="457"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2</w:t>
            </w:r>
          </w:p>
        </w:tc>
        <w:tc>
          <w:tcPr>
            <w:tcW w:w="555"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埇桥区</w:t>
            </w:r>
          </w:p>
        </w:tc>
        <w:tc>
          <w:tcPr>
            <w:tcW w:w="819"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西二铺乡</w:t>
            </w:r>
          </w:p>
        </w:tc>
        <w:tc>
          <w:tcPr>
            <w:tcW w:w="978"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color w:val="000000"/>
                <w:kern w:val="0"/>
                <w:sz w:val="24"/>
              </w:rPr>
              <w:t>2</w:t>
            </w:r>
            <w:r>
              <w:rPr>
                <w:color w:val="000000"/>
                <w:kern w:val="0"/>
                <w:sz w:val="24"/>
              </w:rPr>
              <w:t>00</w:t>
            </w:r>
          </w:p>
        </w:tc>
        <w:tc>
          <w:tcPr>
            <w:tcW w:w="938"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14.70</w:t>
            </w:r>
          </w:p>
        </w:tc>
        <w:tc>
          <w:tcPr>
            <w:tcW w:w="935"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6.159</w:t>
            </w:r>
          </w:p>
        </w:tc>
        <w:tc>
          <w:tcPr>
            <w:tcW w:w="983"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9.354</w:t>
            </w:r>
          </w:p>
        </w:tc>
        <w:tc>
          <w:tcPr>
            <w:tcW w:w="1048"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422</w:t>
            </w:r>
          </w:p>
        </w:tc>
        <w:tc>
          <w:tcPr>
            <w:tcW w:w="939"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363</w:t>
            </w:r>
          </w:p>
        </w:tc>
        <w:tc>
          <w:tcPr>
            <w:tcW w:w="876"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89.63</w:t>
            </w:r>
          </w:p>
        </w:tc>
      </w:tr>
      <w:tr>
        <w:tblPrEx>
          <w:tblLayout w:type="fixed"/>
          <w:tblCellMar>
            <w:top w:w="0" w:type="dxa"/>
            <w:left w:w="108" w:type="dxa"/>
            <w:bottom w:w="0" w:type="dxa"/>
            <w:right w:w="108" w:type="dxa"/>
          </w:tblCellMar>
        </w:tblPrEx>
        <w:trPr>
          <w:trHeight w:val="285" w:hRule="atLeast"/>
        </w:trPr>
        <w:tc>
          <w:tcPr>
            <w:tcW w:w="457"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3</w:t>
            </w:r>
          </w:p>
        </w:tc>
        <w:tc>
          <w:tcPr>
            <w:tcW w:w="555"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灵璧县</w:t>
            </w:r>
          </w:p>
        </w:tc>
        <w:tc>
          <w:tcPr>
            <w:tcW w:w="819"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虞姬镇</w:t>
            </w:r>
          </w:p>
        </w:tc>
        <w:tc>
          <w:tcPr>
            <w:tcW w:w="978"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color w:val="000000"/>
                <w:kern w:val="0"/>
                <w:sz w:val="24"/>
              </w:rPr>
              <w:t>6</w:t>
            </w:r>
            <w:r>
              <w:rPr>
                <w:color w:val="000000"/>
                <w:kern w:val="0"/>
                <w:sz w:val="24"/>
              </w:rPr>
              <w:t>00</w:t>
            </w:r>
          </w:p>
        </w:tc>
        <w:tc>
          <w:tcPr>
            <w:tcW w:w="938"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30</w:t>
            </w:r>
          </w:p>
        </w:tc>
        <w:tc>
          <w:tcPr>
            <w:tcW w:w="935"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15.51</w:t>
            </w:r>
          </w:p>
        </w:tc>
        <w:tc>
          <w:tcPr>
            <w:tcW w:w="983"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20.7</w:t>
            </w:r>
          </w:p>
        </w:tc>
        <w:tc>
          <w:tcPr>
            <w:tcW w:w="1048"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1221</w:t>
            </w:r>
          </w:p>
        </w:tc>
        <w:tc>
          <w:tcPr>
            <w:tcW w:w="939"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2730</w:t>
            </w:r>
          </w:p>
        </w:tc>
        <w:tc>
          <w:tcPr>
            <w:tcW w:w="876"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100</w:t>
            </w:r>
          </w:p>
        </w:tc>
      </w:tr>
      <w:tr>
        <w:tblPrEx>
          <w:tblLayout w:type="fixed"/>
          <w:tblCellMar>
            <w:top w:w="0" w:type="dxa"/>
            <w:left w:w="108" w:type="dxa"/>
            <w:bottom w:w="0" w:type="dxa"/>
            <w:right w:w="108" w:type="dxa"/>
          </w:tblCellMar>
        </w:tblPrEx>
        <w:trPr>
          <w:trHeight w:val="285" w:hRule="atLeast"/>
        </w:trPr>
        <w:tc>
          <w:tcPr>
            <w:tcW w:w="45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4</w:t>
            </w:r>
          </w:p>
        </w:tc>
        <w:tc>
          <w:tcPr>
            <w:tcW w:w="555" w:type="dxa"/>
            <w:tcBorders>
              <w:top w:val="single" w:color="auto" w:sz="4" w:space="0"/>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灵璧县</w:t>
            </w:r>
          </w:p>
        </w:tc>
        <w:tc>
          <w:tcPr>
            <w:tcW w:w="819" w:type="dxa"/>
            <w:tcBorders>
              <w:top w:val="single" w:color="auto" w:sz="4" w:space="0"/>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娄庄镇</w:t>
            </w:r>
          </w:p>
        </w:tc>
        <w:tc>
          <w:tcPr>
            <w:tcW w:w="978"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color w:val="000000"/>
                <w:kern w:val="0"/>
                <w:sz w:val="24"/>
              </w:rPr>
              <w:t>1000</w:t>
            </w:r>
          </w:p>
        </w:tc>
        <w:tc>
          <w:tcPr>
            <w:tcW w:w="938" w:type="dxa"/>
            <w:tcBorders>
              <w:top w:val="single" w:color="auto" w:sz="4" w:space="0"/>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35</w:t>
            </w:r>
          </w:p>
        </w:tc>
        <w:tc>
          <w:tcPr>
            <w:tcW w:w="935" w:type="dxa"/>
            <w:tcBorders>
              <w:top w:val="single" w:color="auto" w:sz="4" w:space="0"/>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5.2</w:t>
            </w:r>
          </w:p>
        </w:tc>
        <w:tc>
          <w:tcPr>
            <w:tcW w:w="983" w:type="dxa"/>
            <w:tcBorders>
              <w:top w:val="single" w:color="auto" w:sz="4" w:space="0"/>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7.8</w:t>
            </w:r>
          </w:p>
        </w:tc>
        <w:tc>
          <w:tcPr>
            <w:tcW w:w="1048" w:type="dxa"/>
            <w:tcBorders>
              <w:top w:val="single" w:color="auto" w:sz="4" w:space="0"/>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427</w:t>
            </w:r>
          </w:p>
        </w:tc>
        <w:tc>
          <w:tcPr>
            <w:tcW w:w="939" w:type="dxa"/>
            <w:tcBorders>
              <w:top w:val="single" w:color="auto" w:sz="4" w:space="0"/>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400</w:t>
            </w:r>
          </w:p>
        </w:tc>
        <w:tc>
          <w:tcPr>
            <w:tcW w:w="876" w:type="dxa"/>
            <w:tcBorders>
              <w:top w:val="single" w:color="auto" w:sz="4" w:space="0"/>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96</w:t>
            </w:r>
          </w:p>
        </w:tc>
      </w:tr>
    </w:tbl>
    <w:p>
      <w:pPr>
        <w:ind w:firstLine="420" w:firstLineChars="200"/>
        <w:rPr>
          <w:rFonts w:eastAsiaTheme="minorEastAsia"/>
        </w:rPr>
      </w:pPr>
    </w:p>
    <w:p>
      <w:pPr>
        <w:pStyle w:val="4"/>
        <w:spacing w:before="312" w:after="312"/>
        <w:rPr>
          <w:rFonts w:eastAsiaTheme="minorEastAsia"/>
        </w:rPr>
      </w:pPr>
      <w:bookmarkStart w:id="122" w:name="_Toc84536533"/>
      <w:r>
        <w:rPr>
          <w:rFonts w:hint="eastAsia" w:eastAsiaTheme="minorEastAsia"/>
        </w:rPr>
        <w:t xml:space="preserve">3.2 </w:t>
      </w:r>
      <w:r>
        <w:rPr>
          <w:rFonts w:hint="eastAsia" w:asciiTheme="minorEastAsia" w:hAnsiTheme="minorEastAsia" w:eastAsiaTheme="minorEastAsia"/>
        </w:rPr>
        <w:t>大运河有水河段</w:t>
      </w:r>
      <w:bookmarkEnd w:id="122"/>
    </w:p>
    <w:p>
      <w:pPr>
        <w:pStyle w:val="25"/>
        <w:spacing w:before="156" w:after="156"/>
        <w:ind w:left="0" w:leftChars="0"/>
      </w:pPr>
      <w:bookmarkStart w:id="123" w:name="_Toc84536534"/>
      <w:r>
        <w:rPr>
          <w:rFonts w:hint="eastAsia"/>
        </w:rPr>
        <w:t>3.2.1 城镇生活污染源</w:t>
      </w:r>
      <w:bookmarkEnd w:id="123"/>
    </w:p>
    <w:p>
      <w:pPr>
        <w:pStyle w:val="6"/>
        <w:spacing w:before="62" w:after="62"/>
        <w:rPr>
          <w:rFonts w:ascii="Times New Roman" w:hAnsi="Times New Roman"/>
        </w:rPr>
      </w:pPr>
      <w:r>
        <w:rPr>
          <w:rFonts w:hint="eastAsia" w:ascii="Times New Roman" w:hAnsi="Times New Roman"/>
        </w:rPr>
        <w:t xml:space="preserve">3.2.1.1 </w:t>
      </w:r>
      <w:r>
        <w:rPr>
          <w:rFonts w:hint="eastAsia" w:asciiTheme="minorEastAsia" w:hAnsiTheme="minorEastAsia" w:eastAsiaTheme="minorEastAsia"/>
        </w:rPr>
        <w:t>现状问题</w:t>
      </w:r>
    </w:p>
    <w:p>
      <w:pPr>
        <w:spacing w:line="360" w:lineRule="auto"/>
        <w:ind w:firstLine="560" w:firstLineChars="200"/>
        <w:rPr>
          <w:rFonts w:eastAsiaTheme="minorEastAsia"/>
          <w:sz w:val="28"/>
          <w:szCs w:val="28"/>
        </w:rPr>
      </w:pPr>
      <w:r>
        <w:rPr>
          <w:rFonts w:hint="eastAsia" w:eastAsiaTheme="minorEastAsia"/>
          <w:sz w:val="28"/>
          <w:szCs w:val="28"/>
        </w:rPr>
        <w:t>根据现场调研情况，大运河泗县段城区河道沿岸生活污水收集和处理能力不足，配套管网建设滞后，没有纳入统一截污处理管网系统，相关污水收集和处理设施需要进一步完善。城镇生活垃圾无害化处理技术水平不高，急需加快研究区域生活垃圾集中收集和处理问题。尤其是丹凤桥至东二环路桥的河段，水质浑浊并有明显臭味，严重影响沿岸居民生活质量。</w:t>
      </w:r>
      <w:r>
        <w:rPr>
          <w:rFonts w:eastAsiaTheme="minorEastAsia"/>
          <w:sz w:val="28"/>
          <w:szCs w:val="28"/>
        </w:rPr>
        <w:t>其</w:t>
      </w:r>
      <w:r>
        <w:rPr>
          <w:rFonts w:hint="eastAsia" w:eastAsiaTheme="minorEastAsia"/>
          <w:sz w:val="28"/>
          <w:szCs w:val="28"/>
        </w:rPr>
        <w:t>现场调研具体</w:t>
      </w:r>
      <w:r>
        <w:rPr>
          <w:rFonts w:eastAsiaTheme="minorEastAsia"/>
          <w:sz w:val="28"/>
          <w:szCs w:val="28"/>
        </w:rPr>
        <w:t>情况见表</w:t>
      </w:r>
      <w:r>
        <w:rPr>
          <w:rFonts w:hint="eastAsia" w:eastAsiaTheme="minorEastAsia"/>
          <w:sz w:val="28"/>
          <w:szCs w:val="28"/>
        </w:rPr>
        <w:t>3-2</w:t>
      </w:r>
      <w:r>
        <w:rPr>
          <w:rFonts w:eastAsiaTheme="minorEastAsia"/>
          <w:sz w:val="28"/>
          <w:szCs w:val="28"/>
        </w:rPr>
        <w:t>。</w:t>
      </w:r>
    </w:p>
    <w:p>
      <w:pPr>
        <w:spacing w:line="360" w:lineRule="auto"/>
        <w:jc w:val="center"/>
        <w:rPr>
          <w:b/>
          <w:bCs/>
          <w:sz w:val="24"/>
        </w:rPr>
      </w:pPr>
      <w:r>
        <w:rPr>
          <w:b/>
          <w:bCs/>
          <w:sz w:val="24"/>
        </w:rPr>
        <w:t>表</w:t>
      </w:r>
      <w:r>
        <w:rPr>
          <w:rFonts w:hint="eastAsia"/>
          <w:b/>
          <w:bCs/>
          <w:sz w:val="24"/>
        </w:rPr>
        <w:t>3-2</w:t>
      </w:r>
      <w:r>
        <w:rPr>
          <w:b/>
          <w:bCs/>
          <w:sz w:val="24"/>
        </w:rPr>
        <w:t xml:space="preserve">  城镇生活污染勘察结果一览表</w:t>
      </w:r>
    </w:p>
    <w:tbl>
      <w:tblPr>
        <w:tblStyle w:val="28"/>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1"/>
        <w:gridCol w:w="1562"/>
        <w:gridCol w:w="1627"/>
        <w:gridCol w:w="48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531" w:type="dxa"/>
            <w:vAlign w:val="center"/>
          </w:tcPr>
          <w:p>
            <w:pPr>
              <w:adjustRightInd w:val="0"/>
              <w:jc w:val="center"/>
              <w:rPr>
                <w:rFonts w:ascii="宋体" w:hAnsi="宋体"/>
                <w:b/>
                <w:sz w:val="24"/>
              </w:rPr>
            </w:pPr>
            <w:r>
              <w:rPr>
                <w:rFonts w:ascii="宋体" w:hAnsi="宋体"/>
                <w:b/>
                <w:sz w:val="24"/>
              </w:rPr>
              <w:t>编号</w:t>
            </w:r>
          </w:p>
        </w:tc>
        <w:tc>
          <w:tcPr>
            <w:tcW w:w="1562" w:type="dxa"/>
            <w:vAlign w:val="center"/>
          </w:tcPr>
          <w:p>
            <w:pPr>
              <w:adjustRightInd w:val="0"/>
              <w:jc w:val="center"/>
              <w:rPr>
                <w:rFonts w:ascii="宋体" w:hAnsi="宋体"/>
                <w:b/>
                <w:sz w:val="24"/>
              </w:rPr>
            </w:pPr>
            <w:r>
              <w:rPr>
                <w:rFonts w:ascii="宋体" w:hAnsi="宋体"/>
                <w:b/>
                <w:sz w:val="24"/>
              </w:rPr>
              <w:t>现场勘查</w:t>
            </w:r>
          </w:p>
          <w:p>
            <w:pPr>
              <w:adjustRightInd w:val="0"/>
              <w:jc w:val="center"/>
              <w:rPr>
                <w:rFonts w:ascii="宋体" w:hAnsi="宋体"/>
                <w:b/>
                <w:sz w:val="24"/>
              </w:rPr>
            </w:pPr>
            <w:r>
              <w:rPr>
                <w:rFonts w:ascii="宋体" w:hAnsi="宋体"/>
                <w:b/>
                <w:sz w:val="24"/>
              </w:rPr>
              <w:t>情况</w:t>
            </w:r>
          </w:p>
        </w:tc>
        <w:tc>
          <w:tcPr>
            <w:tcW w:w="1627" w:type="dxa"/>
            <w:vAlign w:val="center"/>
          </w:tcPr>
          <w:p>
            <w:pPr>
              <w:adjustRightInd w:val="0"/>
              <w:jc w:val="center"/>
              <w:rPr>
                <w:rFonts w:ascii="宋体" w:hAnsi="宋体"/>
                <w:b/>
                <w:sz w:val="24"/>
              </w:rPr>
            </w:pPr>
            <w:r>
              <w:rPr>
                <w:rFonts w:ascii="宋体" w:hAnsi="宋体"/>
                <w:b/>
                <w:sz w:val="24"/>
              </w:rPr>
              <w:t>坐标</w:t>
            </w:r>
          </w:p>
        </w:tc>
        <w:tc>
          <w:tcPr>
            <w:tcW w:w="4808" w:type="dxa"/>
            <w:vAlign w:val="center"/>
          </w:tcPr>
          <w:p>
            <w:pPr>
              <w:adjustRightInd w:val="0"/>
              <w:jc w:val="center"/>
              <w:rPr>
                <w:rFonts w:ascii="宋体" w:hAnsi="宋体"/>
                <w:b/>
                <w:sz w:val="24"/>
              </w:rPr>
            </w:pPr>
            <w:r>
              <w:rPr>
                <w:rFonts w:ascii="宋体" w:hAnsi="宋体"/>
                <w:b/>
                <w:sz w:val="24"/>
              </w:rPr>
              <w:t>照片资料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 w:type="dxa"/>
            <w:vAlign w:val="center"/>
          </w:tcPr>
          <w:p>
            <w:pPr>
              <w:adjustRightInd w:val="0"/>
              <w:jc w:val="center"/>
              <w:rPr>
                <w:sz w:val="24"/>
              </w:rPr>
            </w:pPr>
            <w:r>
              <w:rPr>
                <w:rFonts w:hint="eastAsia"/>
                <w:sz w:val="24"/>
              </w:rPr>
              <w:t>1</w:t>
            </w:r>
          </w:p>
        </w:tc>
        <w:tc>
          <w:tcPr>
            <w:tcW w:w="1562" w:type="dxa"/>
            <w:vAlign w:val="center"/>
          </w:tcPr>
          <w:p>
            <w:pPr>
              <w:adjustRightInd w:val="0"/>
              <w:jc w:val="center"/>
              <w:rPr>
                <w:sz w:val="24"/>
              </w:rPr>
            </w:pPr>
            <w:r>
              <w:rPr>
                <w:rFonts w:hint="eastAsia"/>
                <w:sz w:val="24"/>
              </w:rPr>
              <w:t>该河段水体浑浊，并散发臭味</w:t>
            </w:r>
          </w:p>
        </w:tc>
        <w:tc>
          <w:tcPr>
            <w:tcW w:w="1627" w:type="dxa"/>
            <w:vAlign w:val="center"/>
          </w:tcPr>
          <w:p>
            <w:pPr>
              <w:adjustRightInd w:val="0"/>
              <w:jc w:val="center"/>
              <w:rPr>
                <w:sz w:val="24"/>
              </w:rPr>
            </w:pPr>
            <w:r>
              <w:rPr>
                <w:sz w:val="24"/>
              </w:rPr>
              <w:t>N：</w:t>
            </w:r>
            <w:r>
              <w:rPr>
                <w:rFonts w:hint="eastAsia"/>
                <w:color w:val="000000"/>
                <w:sz w:val="24"/>
              </w:rPr>
              <w:t>33</w:t>
            </w:r>
            <w:r>
              <w:rPr>
                <w:color w:val="000000"/>
                <w:sz w:val="24"/>
              </w:rPr>
              <w:t>°</w:t>
            </w:r>
            <w:r>
              <w:rPr>
                <w:rFonts w:hint="eastAsia"/>
                <w:color w:val="000000"/>
                <w:sz w:val="24"/>
              </w:rPr>
              <w:t>2</w:t>
            </w:r>
            <w:r>
              <w:rPr>
                <w:color w:val="000000"/>
                <w:sz w:val="24"/>
              </w:rPr>
              <w:t>9′</w:t>
            </w:r>
            <w:r>
              <w:rPr>
                <w:rFonts w:hint="eastAsia"/>
                <w:color w:val="000000"/>
                <w:sz w:val="24"/>
              </w:rPr>
              <w:t>20</w:t>
            </w:r>
            <w:r>
              <w:rPr>
                <w:color w:val="000000"/>
                <w:sz w:val="24"/>
              </w:rPr>
              <w:t>″</w:t>
            </w:r>
          </w:p>
          <w:p>
            <w:pPr>
              <w:adjustRightInd w:val="0"/>
              <w:jc w:val="center"/>
              <w:rPr>
                <w:color w:val="000000"/>
                <w:sz w:val="24"/>
              </w:rPr>
            </w:pPr>
            <w:r>
              <w:rPr>
                <w:sz w:val="24"/>
              </w:rPr>
              <w:t>E：</w:t>
            </w:r>
            <w:r>
              <w:rPr>
                <w:rFonts w:hint="eastAsia"/>
                <w:color w:val="000000"/>
                <w:sz w:val="24"/>
              </w:rPr>
              <w:t>117</w:t>
            </w:r>
            <w:r>
              <w:rPr>
                <w:color w:val="000000"/>
                <w:sz w:val="24"/>
              </w:rPr>
              <w:t>°</w:t>
            </w:r>
            <w:r>
              <w:rPr>
                <w:rFonts w:hint="eastAsia"/>
                <w:color w:val="000000"/>
                <w:sz w:val="24"/>
              </w:rPr>
              <w:t>54</w:t>
            </w:r>
            <w:r>
              <w:rPr>
                <w:color w:val="000000"/>
                <w:sz w:val="24"/>
              </w:rPr>
              <w:t>′</w:t>
            </w:r>
            <w:r>
              <w:rPr>
                <w:rFonts w:hint="eastAsia"/>
                <w:color w:val="000000"/>
                <w:sz w:val="24"/>
              </w:rPr>
              <w:t>8</w:t>
            </w:r>
            <w:r>
              <w:rPr>
                <w:color w:val="000000"/>
                <w:sz w:val="24"/>
              </w:rPr>
              <w:t>″</w:t>
            </w:r>
          </w:p>
          <w:p>
            <w:pPr>
              <w:adjustRightInd w:val="0"/>
              <w:jc w:val="center"/>
              <w:rPr>
                <w:sz w:val="24"/>
              </w:rPr>
            </w:pPr>
            <w:r>
              <w:rPr>
                <w:rFonts w:hint="eastAsia"/>
                <w:color w:val="000000"/>
                <w:sz w:val="24"/>
              </w:rPr>
              <w:t>丹凤桥</w:t>
            </w:r>
          </w:p>
        </w:tc>
        <w:tc>
          <w:tcPr>
            <w:tcW w:w="4808" w:type="dxa"/>
          </w:tcPr>
          <w:p>
            <w:pPr>
              <w:adjustRightInd w:val="0"/>
              <w:rPr>
                <w:rFonts w:eastAsia="仿宋"/>
                <w:sz w:val="24"/>
              </w:rPr>
            </w:pPr>
            <w:r>
              <w:rPr>
                <w:rFonts w:eastAsia="仿宋"/>
                <w:sz w:val="24"/>
              </w:rPr>
              <w:drawing>
                <wp:inline distT="0" distB="0" distL="0" distR="0">
                  <wp:extent cx="2915920" cy="2123440"/>
                  <wp:effectExtent l="0" t="0" r="0" b="0"/>
                  <wp:docPr id="23" name="图片 23" descr="C:\Users\Administrator\Desktop\大运河调研\第二次调研\丹凤桥\7b6a62a10680cf6c2b028a08c86a2f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Administrator\Desktop\大运河调研\第二次调研\丹凤桥\7b6a62a10680cf6c2b028a08c86a2f9b.jpg"/>
                          <pic:cNvPicPr preferRelativeResize="0">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2916000" cy="2124000"/>
                          </a:xfrm>
                          <a:prstGeom prst="rect">
                            <a:avLst/>
                          </a:prstGeom>
                          <a:noFill/>
                          <a:ln>
                            <a:noFill/>
                          </a:ln>
                          <a:effectLst>
                            <a:softEdge rad="25400"/>
                          </a:effectLst>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 w:type="dxa"/>
            <w:vAlign w:val="center"/>
          </w:tcPr>
          <w:p>
            <w:pPr>
              <w:adjustRightInd w:val="0"/>
              <w:jc w:val="center"/>
              <w:rPr>
                <w:sz w:val="24"/>
              </w:rPr>
            </w:pPr>
            <w:r>
              <w:rPr>
                <w:rFonts w:hint="eastAsia"/>
                <w:sz w:val="24"/>
              </w:rPr>
              <w:t>2</w:t>
            </w:r>
          </w:p>
        </w:tc>
        <w:tc>
          <w:tcPr>
            <w:tcW w:w="1562" w:type="dxa"/>
            <w:vAlign w:val="center"/>
          </w:tcPr>
          <w:p>
            <w:pPr>
              <w:adjustRightInd w:val="0"/>
              <w:jc w:val="center"/>
              <w:rPr>
                <w:sz w:val="24"/>
              </w:rPr>
            </w:pPr>
            <w:r>
              <w:rPr>
                <w:rFonts w:hint="eastAsia"/>
                <w:sz w:val="24"/>
              </w:rPr>
              <w:t>该河段水体浑浊，并散发臭味，可能存在企业偷排现象</w:t>
            </w:r>
          </w:p>
        </w:tc>
        <w:tc>
          <w:tcPr>
            <w:tcW w:w="1627" w:type="dxa"/>
            <w:vAlign w:val="center"/>
          </w:tcPr>
          <w:p>
            <w:pPr>
              <w:adjustRightInd w:val="0"/>
              <w:jc w:val="center"/>
              <w:rPr>
                <w:sz w:val="24"/>
              </w:rPr>
            </w:pPr>
            <w:r>
              <w:rPr>
                <w:sz w:val="24"/>
              </w:rPr>
              <w:t>N：</w:t>
            </w:r>
            <w:r>
              <w:rPr>
                <w:rFonts w:hint="eastAsia"/>
                <w:color w:val="000000"/>
                <w:sz w:val="24"/>
              </w:rPr>
              <w:t>33</w:t>
            </w:r>
            <w:r>
              <w:rPr>
                <w:color w:val="000000"/>
                <w:sz w:val="24"/>
              </w:rPr>
              <w:t>°</w:t>
            </w:r>
            <w:r>
              <w:rPr>
                <w:rFonts w:hint="eastAsia"/>
                <w:color w:val="000000"/>
                <w:sz w:val="24"/>
              </w:rPr>
              <w:t>29</w:t>
            </w:r>
            <w:r>
              <w:rPr>
                <w:color w:val="000000"/>
                <w:sz w:val="24"/>
              </w:rPr>
              <w:t>′</w:t>
            </w:r>
            <w:r>
              <w:rPr>
                <w:rFonts w:hint="eastAsia"/>
                <w:color w:val="000000"/>
                <w:sz w:val="24"/>
              </w:rPr>
              <w:t>10</w:t>
            </w:r>
            <w:r>
              <w:rPr>
                <w:color w:val="000000"/>
                <w:sz w:val="24"/>
              </w:rPr>
              <w:t>″</w:t>
            </w:r>
          </w:p>
          <w:p>
            <w:pPr>
              <w:adjustRightInd w:val="0"/>
              <w:jc w:val="center"/>
              <w:rPr>
                <w:color w:val="000000"/>
                <w:sz w:val="24"/>
              </w:rPr>
            </w:pPr>
            <w:r>
              <w:rPr>
                <w:sz w:val="24"/>
              </w:rPr>
              <w:t>E：</w:t>
            </w:r>
            <w:r>
              <w:rPr>
                <w:color w:val="000000"/>
                <w:sz w:val="24"/>
              </w:rPr>
              <w:t>1</w:t>
            </w:r>
            <w:r>
              <w:rPr>
                <w:rFonts w:hint="eastAsia"/>
                <w:color w:val="000000"/>
                <w:sz w:val="24"/>
              </w:rPr>
              <w:t>17</w:t>
            </w:r>
            <w:r>
              <w:rPr>
                <w:color w:val="000000"/>
                <w:sz w:val="24"/>
              </w:rPr>
              <w:t>°</w:t>
            </w:r>
            <w:r>
              <w:rPr>
                <w:rFonts w:hint="eastAsia"/>
                <w:color w:val="000000"/>
                <w:sz w:val="24"/>
              </w:rPr>
              <w:t>53</w:t>
            </w:r>
            <w:r>
              <w:rPr>
                <w:color w:val="000000"/>
                <w:sz w:val="24"/>
              </w:rPr>
              <w:t>′</w:t>
            </w:r>
            <w:r>
              <w:rPr>
                <w:rFonts w:hint="eastAsia"/>
                <w:color w:val="000000"/>
                <w:sz w:val="24"/>
              </w:rPr>
              <w:t>49</w:t>
            </w:r>
            <w:r>
              <w:rPr>
                <w:color w:val="000000"/>
                <w:sz w:val="24"/>
              </w:rPr>
              <w:t>″</w:t>
            </w:r>
          </w:p>
          <w:p>
            <w:pPr>
              <w:adjustRightInd w:val="0"/>
              <w:jc w:val="center"/>
              <w:rPr>
                <w:sz w:val="24"/>
              </w:rPr>
            </w:pPr>
            <w:r>
              <w:rPr>
                <w:rFonts w:hint="eastAsia"/>
                <w:color w:val="000000"/>
                <w:sz w:val="24"/>
              </w:rPr>
              <w:t>东二环路桥</w:t>
            </w:r>
          </w:p>
        </w:tc>
        <w:tc>
          <w:tcPr>
            <w:tcW w:w="4808" w:type="dxa"/>
          </w:tcPr>
          <w:p>
            <w:pPr>
              <w:adjustRightInd w:val="0"/>
              <w:rPr>
                <w:rFonts w:eastAsia="仿宋"/>
                <w:sz w:val="24"/>
              </w:rPr>
            </w:pPr>
            <w:r>
              <w:rPr>
                <w:rFonts w:eastAsia="仿宋"/>
                <w:sz w:val="24"/>
              </w:rPr>
              <w:drawing>
                <wp:inline distT="0" distB="0" distL="0" distR="0">
                  <wp:extent cx="2915920" cy="2123440"/>
                  <wp:effectExtent l="0" t="0" r="0" b="0"/>
                  <wp:docPr id="24" name="图片 24" descr="C:\Users\Administrator\Desktop\大运河调研\第二次调研\东二环路桥\1b85c8e060e415216a437e20cb5be6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Administrator\Desktop\大运河调研\第二次调研\东二环路桥\1b85c8e060e415216a437e20cb5be60d.jpg"/>
                          <pic:cNvPicPr preferRelativeResize="0">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2916000" cy="2124000"/>
                          </a:xfrm>
                          <a:prstGeom prst="rect">
                            <a:avLst/>
                          </a:prstGeom>
                          <a:noFill/>
                          <a:ln>
                            <a:noFill/>
                          </a:ln>
                          <a:effectLst>
                            <a:softEdge rad="25400"/>
                          </a:effectLst>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 w:type="dxa"/>
            <w:vAlign w:val="center"/>
          </w:tcPr>
          <w:p>
            <w:pPr>
              <w:adjustRightInd w:val="0"/>
              <w:jc w:val="center"/>
              <w:rPr>
                <w:sz w:val="24"/>
              </w:rPr>
            </w:pPr>
            <w:r>
              <w:rPr>
                <w:rFonts w:hint="eastAsia"/>
                <w:sz w:val="24"/>
              </w:rPr>
              <w:t>3</w:t>
            </w:r>
          </w:p>
        </w:tc>
        <w:tc>
          <w:tcPr>
            <w:tcW w:w="1562" w:type="dxa"/>
            <w:vAlign w:val="center"/>
          </w:tcPr>
          <w:p>
            <w:pPr>
              <w:adjustRightInd w:val="0"/>
              <w:jc w:val="center"/>
              <w:rPr>
                <w:sz w:val="24"/>
              </w:rPr>
            </w:pPr>
            <w:r>
              <w:rPr>
                <w:rFonts w:hint="eastAsia"/>
                <w:sz w:val="24"/>
              </w:rPr>
              <w:t>雨水排污口混有油污，并有垃圾堆放在河岸上</w:t>
            </w:r>
          </w:p>
        </w:tc>
        <w:tc>
          <w:tcPr>
            <w:tcW w:w="1627" w:type="dxa"/>
            <w:vAlign w:val="center"/>
          </w:tcPr>
          <w:p>
            <w:pPr>
              <w:adjustRightInd w:val="0"/>
              <w:jc w:val="center"/>
              <w:rPr>
                <w:sz w:val="24"/>
              </w:rPr>
            </w:pPr>
            <w:r>
              <w:rPr>
                <w:sz w:val="24"/>
              </w:rPr>
              <w:t>N：</w:t>
            </w:r>
            <w:r>
              <w:rPr>
                <w:rFonts w:hint="eastAsia"/>
                <w:color w:val="000000"/>
                <w:sz w:val="24"/>
              </w:rPr>
              <w:t>33</w:t>
            </w:r>
            <w:r>
              <w:rPr>
                <w:color w:val="000000"/>
                <w:sz w:val="24"/>
              </w:rPr>
              <w:t>°</w:t>
            </w:r>
            <w:r>
              <w:rPr>
                <w:rFonts w:hint="eastAsia"/>
                <w:color w:val="000000"/>
                <w:sz w:val="24"/>
              </w:rPr>
              <w:t>28</w:t>
            </w:r>
            <w:r>
              <w:rPr>
                <w:color w:val="000000"/>
                <w:sz w:val="24"/>
              </w:rPr>
              <w:t>′</w:t>
            </w:r>
            <w:r>
              <w:rPr>
                <w:rFonts w:hint="eastAsia"/>
                <w:color w:val="000000"/>
                <w:sz w:val="24"/>
              </w:rPr>
              <w:t>58</w:t>
            </w:r>
            <w:r>
              <w:rPr>
                <w:color w:val="000000"/>
                <w:sz w:val="24"/>
              </w:rPr>
              <w:t>″</w:t>
            </w:r>
          </w:p>
          <w:p>
            <w:pPr>
              <w:adjustRightInd w:val="0"/>
              <w:jc w:val="center"/>
              <w:rPr>
                <w:color w:val="000000"/>
                <w:sz w:val="24"/>
              </w:rPr>
            </w:pPr>
            <w:r>
              <w:rPr>
                <w:sz w:val="24"/>
              </w:rPr>
              <w:t>E：</w:t>
            </w:r>
            <w:r>
              <w:rPr>
                <w:rFonts w:hint="eastAsia"/>
                <w:color w:val="000000"/>
                <w:sz w:val="24"/>
              </w:rPr>
              <w:t>117</w:t>
            </w:r>
            <w:r>
              <w:rPr>
                <w:color w:val="000000"/>
                <w:sz w:val="24"/>
              </w:rPr>
              <w:t>°</w:t>
            </w:r>
            <w:r>
              <w:rPr>
                <w:rFonts w:hint="eastAsia"/>
                <w:color w:val="000000"/>
                <w:sz w:val="24"/>
              </w:rPr>
              <w:t>53</w:t>
            </w:r>
            <w:r>
              <w:rPr>
                <w:color w:val="000000"/>
                <w:sz w:val="24"/>
              </w:rPr>
              <w:t>′</w:t>
            </w:r>
            <w:r>
              <w:rPr>
                <w:rFonts w:hint="eastAsia"/>
                <w:color w:val="000000"/>
                <w:sz w:val="24"/>
              </w:rPr>
              <w:t>18</w:t>
            </w:r>
            <w:r>
              <w:rPr>
                <w:color w:val="000000"/>
                <w:sz w:val="24"/>
              </w:rPr>
              <w:t>″</w:t>
            </w:r>
          </w:p>
          <w:p>
            <w:pPr>
              <w:adjustRightInd w:val="0"/>
              <w:jc w:val="center"/>
              <w:rPr>
                <w:sz w:val="24"/>
              </w:rPr>
            </w:pPr>
            <w:r>
              <w:rPr>
                <w:rFonts w:hint="eastAsia"/>
                <w:color w:val="000000"/>
                <w:sz w:val="24"/>
              </w:rPr>
              <w:t>东关桥</w:t>
            </w:r>
          </w:p>
        </w:tc>
        <w:tc>
          <w:tcPr>
            <w:tcW w:w="4808" w:type="dxa"/>
          </w:tcPr>
          <w:p>
            <w:pPr>
              <w:adjustRightInd w:val="0"/>
              <w:rPr>
                <w:rFonts w:eastAsia="仿宋"/>
                <w:sz w:val="24"/>
              </w:rPr>
            </w:pPr>
            <w:r>
              <w:rPr>
                <w:rFonts w:eastAsia="仿宋"/>
                <w:sz w:val="24"/>
              </w:rPr>
              <w:drawing>
                <wp:inline distT="0" distB="0" distL="0" distR="0">
                  <wp:extent cx="2914650" cy="2676525"/>
                  <wp:effectExtent l="0" t="0" r="0" b="9525"/>
                  <wp:docPr id="25" name="图片 25" descr="C:\Users\Administrator\Desktop\大运河调研\第一次调研\东关桥\3cf5235814c6cf5bf9bb3dfa08cf8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Administrator\Desktop\大运河调研\第一次调研\东关桥\3cf5235814c6cf5bf9bb3dfa08cf8f12.jpg"/>
                          <pic:cNvPicPr preferRelativeResize="0">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2916000" cy="2677765"/>
                          </a:xfrm>
                          <a:prstGeom prst="rect">
                            <a:avLst/>
                          </a:prstGeom>
                          <a:noFill/>
                          <a:ln>
                            <a:noFill/>
                          </a:ln>
                          <a:effectLst>
                            <a:softEdge rad="25400"/>
                          </a:effectLst>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 w:type="dxa"/>
            <w:vAlign w:val="center"/>
          </w:tcPr>
          <w:p>
            <w:pPr>
              <w:adjustRightInd w:val="0"/>
              <w:jc w:val="center"/>
              <w:rPr>
                <w:sz w:val="24"/>
              </w:rPr>
            </w:pPr>
            <w:r>
              <w:rPr>
                <w:rFonts w:hint="eastAsia"/>
                <w:sz w:val="24"/>
              </w:rPr>
              <w:t>4</w:t>
            </w:r>
          </w:p>
        </w:tc>
        <w:tc>
          <w:tcPr>
            <w:tcW w:w="1562" w:type="dxa"/>
            <w:vAlign w:val="center"/>
          </w:tcPr>
          <w:p>
            <w:pPr>
              <w:adjustRightInd w:val="0"/>
              <w:jc w:val="center"/>
              <w:rPr>
                <w:sz w:val="24"/>
              </w:rPr>
            </w:pPr>
            <w:r>
              <w:rPr>
                <w:rFonts w:hint="eastAsia"/>
                <w:sz w:val="24"/>
              </w:rPr>
              <w:t>水体较为浑浊，并有油状物漂浮在水面上</w:t>
            </w:r>
          </w:p>
        </w:tc>
        <w:tc>
          <w:tcPr>
            <w:tcW w:w="1627" w:type="dxa"/>
            <w:vAlign w:val="center"/>
          </w:tcPr>
          <w:p>
            <w:pPr>
              <w:adjustRightInd w:val="0"/>
              <w:jc w:val="center"/>
              <w:rPr>
                <w:sz w:val="24"/>
              </w:rPr>
            </w:pPr>
            <w:r>
              <w:rPr>
                <w:sz w:val="24"/>
              </w:rPr>
              <w:t>N：</w:t>
            </w:r>
            <w:r>
              <w:rPr>
                <w:rFonts w:hint="eastAsia"/>
                <w:color w:val="000000"/>
                <w:sz w:val="24"/>
              </w:rPr>
              <w:t>33</w:t>
            </w:r>
            <w:r>
              <w:rPr>
                <w:color w:val="000000"/>
                <w:sz w:val="24"/>
              </w:rPr>
              <w:t>°</w:t>
            </w:r>
            <w:r>
              <w:rPr>
                <w:rFonts w:hint="eastAsia"/>
                <w:color w:val="000000"/>
                <w:sz w:val="24"/>
              </w:rPr>
              <w:t>29</w:t>
            </w:r>
            <w:r>
              <w:rPr>
                <w:color w:val="000000"/>
                <w:sz w:val="24"/>
              </w:rPr>
              <w:t>′</w:t>
            </w:r>
            <w:r>
              <w:rPr>
                <w:rFonts w:hint="eastAsia"/>
                <w:color w:val="000000"/>
                <w:sz w:val="24"/>
              </w:rPr>
              <w:t>2</w:t>
            </w:r>
            <w:r>
              <w:rPr>
                <w:color w:val="000000"/>
                <w:sz w:val="24"/>
              </w:rPr>
              <w:t>″</w:t>
            </w:r>
          </w:p>
          <w:p>
            <w:pPr>
              <w:adjustRightInd w:val="0"/>
              <w:jc w:val="center"/>
              <w:rPr>
                <w:color w:val="000000"/>
                <w:sz w:val="24"/>
              </w:rPr>
            </w:pPr>
            <w:r>
              <w:rPr>
                <w:sz w:val="24"/>
              </w:rPr>
              <w:t>E：</w:t>
            </w:r>
            <w:r>
              <w:rPr>
                <w:rFonts w:hint="eastAsia"/>
                <w:color w:val="000000"/>
                <w:sz w:val="24"/>
              </w:rPr>
              <w:t>117</w:t>
            </w:r>
            <w:r>
              <w:rPr>
                <w:color w:val="000000"/>
                <w:sz w:val="24"/>
              </w:rPr>
              <w:t>°</w:t>
            </w:r>
            <w:r>
              <w:rPr>
                <w:rFonts w:hint="eastAsia"/>
                <w:color w:val="000000"/>
                <w:sz w:val="24"/>
              </w:rPr>
              <w:t>53</w:t>
            </w:r>
            <w:r>
              <w:rPr>
                <w:color w:val="000000"/>
                <w:sz w:val="24"/>
              </w:rPr>
              <w:t>′</w:t>
            </w:r>
            <w:r>
              <w:rPr>
                <w:rFonts w:hint="eastAsia"/>
                <w:color w:val="000000"/>
                <w:sz w:val="24"/>
              </w:rPr>
              <w:t>35</w:t>
            </w:r>
            <w:r>
              <w:rPr>
                <w:color w:val="000000"/>
                <w:sz w:val="24"/>
              </w:rPr>
              <w:t>″</w:t>
            </w:r>
          </w:p>
          <w:p>
            <w:pPr>
              <w:adjustRightInd w:val="0"/>
              <w:jc w:val="center"/>
              <w:rPr>
                <w:sz w:val="24"/>
              </w:rPr>
            </w:pPr>
            <w:r>
              <w:rPr>
                <w:rFonts w:hint="eastAsia"/>
                <w:sz w:val="24"/>
              </w:rPr>
              <w:t>虹乡路桥</w:t>
            </w:r>
          </w:p>
        </w:tc>
        <w:tc>
          <w:tcPr>
            <w:tcW w:w="4808" w:type="dxa"/>
          </w:tcPr>
          <w:p>
            <w:pPr>
              <w:adjustRightInd w:val="0"/>
              <w:rPr>
                <w:rFonts w:eastAsia="仿宋"/>
                <w:sz w:val="24"/>
              </w:rPr>
            </w:pPr>
            <w:r>
              <w:rPr>
                <w:rFonts w:eastAsia="仿宋"/>
                <w:sz w:val="24"/>
              </w:rPr>
              <w:drawing>
                <wp:inline distT="0" distB="0" distL="0" distR="0">
                  <wp:extent cx="2915920" cy="2915920"/>
                  <wp:effectExtent l="0" t="0" r="0" b="0"/>
                  <wp:docPr id="26" name="图片 26" descr="C:\Users\Administrator\Desktop\大运河调研\第二次调研\虹乡路桥\431af41bdf44ce3f00d0fd064ffcdb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Administrator\Desktop\大运河调研\第二次调研\虹乡路桥\431af41bdf44ce3f00d0fd064ffcdbcf.jpg"/>
                          <pic:cNvPicPr preferRelativeResize="0">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2916000" cy="2916000"/>
                          </a:xfrm>
                          <a:prstGeom prst="rect">
                            <a:avLst/>
                          </a:prstGeom>
                          <a:noFill/>
                          <a:ln>
                            <a:noFill/>
                          </a:ln>
                          <a:effectLst>
                            <a:softEdge rad="25400"/>
                          </a:effectLst>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 w:type="dxa"/>
            <w:vAlign w:val="center"/>
          </w:tcPr>
          <w:p>
            <w:pPr>
              <w:adjustRightInd w:val="0"/>
              <w:jc w:val="center"/>
              <w:rPr>
                <w:sz w:val="24"/>
              </w:rPr>
            </w:pPr>
            <w:r>
              <w:rPr>
                <w:rFonts w:hint="eastAsia"/>
                <w:sz w:val="24"/>
              </w:rPr>
              <w:t>5</w:t>
            </w:r>
          </w:p>
        </w:tc>
        <w:tc>
          <w:tcPr>
            <w:tcW w:w="1562" w:type="dxa"/>
            <w:vAlign w:val="center"/>
          </w:tcPr>
          <w:p>
            <w:pPr>
              <w:adjustRightInd w:val="0"/>
              <w:jc w:val="center"/>
              <w:rPr>
                <w:sz w:val="24"/>
              </w:rPr>
            </w:pPr>
            <w:r>
              <w:rPr>
                <w:rFonts w:hint="eastAsia"/>
                <w:sz w:val="24"/>
              </w:rPr>
              <w:t>有油污漂浮在水面上，并散发臭味</w:t>
            </w:r>
          </w:p>
        </w:tc>
        <w:tc>
          <w:tcPr>
            <w:tcW w:w="1627" w:type="dxa"/>
            <w:vAlign w:val="center"/>
          </w:tcPr>
          <w:p>
            <w:pPr>
              <w:adjustRightInd w:val="0"/>
              <w:jc w:val="center"/>
              <w:rPr>
                <w:sz w:val="24"/>
              </w:rPr>
            </w:pPr>
            <w:r>
              <w:rPr>
                <w:sz w:val="24"/>
              </w:rPr>
              <w:t>N：</w:t>
            </w:r>
            <w:r>
              <w:rPr>
                <w:rFonts w:hint="eastAsia"/>
                <w:sz w:val="24"/>
              </w:rPr>
              <w:t>33</w:t>
            </w:r>
            <w:r>
              <w:rPr>
                <w:color w:val="000000"/>
                <w:sz w:val="24"/>
              </w:rPr>
              <w:t>°</w:t>
            </w:r>
            <w:r>
              <w:rPr>
                <w:rFonts w:hint="eastAsia"/>
                <w:color w:val="000000"/>
                <w:sz w:val="24"/>
              </w:rPr>
              <w:t>2</w:t>
            </w:r>
            <w:r>
              <w:rPr>
                <w:color w:val="000000"/>
                <w:sz w:val="24"/>
              </w:rPr>
              <w:t>8′</w:t>
            </w:r>
            <w:r>
              <w:rPr>
                <w:rFonts w:hint="eastAsia"/>
                <w:color w:val="000000"/>
                <w:sz w:val="24"/>
              </w:rPr>
              <w:t>55</w:t>
            </w:r>
            <w:r>
              <w:rPr>
                <w:color w:val="000000"/>
                <w:sz w:val="24"/>
              </w:rPr>
              <w:t>″</w:t>
            </w:r>
          </w:p>
          <w:p>
            <w:pPr>
              <w:adjustRightInd w:val="0"/>
              <w:jc w:val="center"/>
              <w:rPr>
                <w:color w:val="000000"/>
                <w:sz w:val="24"/>
              </w:rPr>
            </w:pPr>
            <w:r>
              <w:rPr>
                <w:sz w:val="24"/>
              </w:rPr>
              <w:t>E：</w:t>
            </w:r>
            <w:r>
              <w:rPr>
                <w:rFonts w:hint="eastAsia"/>
                <w:color w:val="000000"/>
                <w:sz w:val="24"/>
              </w:rPr>
              <w:t>117</w:t>
            </w:r>
            <w:r>
              <w:rPr>
                <w:color w:val="000000"/>
                <w:sz w:val="24"/>
              </w:rPr>
              <w:t>°</w:t>
            </w:r>
            <w:r>
              <w:rPr>
                <w:rFonts w:hint="eastAsia"/>
                <w:color w:val="000000"/>
                <w:sz w:val="24"/>
              </w:rPr>
              <w:t>52</w:t>
            </w:r>
            <w:r>
              <w:rPr>
                <w:color w:val="000000"/>
                <w:sz w:val="24"/>
              </w:rPr>
              <w:t>′</w:t>
            </w:r>
            <w:r>
              <w:rPr>
                <w:rFonts w:hint="eastAsia"/>
                <w:color w:val="000000"/>
                <w:sz w:val="24"/>
              </w:rPr>
              <w:t>40</w:t>
            </w:r>
            <w:r>
              <w:rPr>
                <w:color w:val="000000"/>
                <w:sz w:val="24"/>
              </w:rPr>
              <w:t>″</w:t>
            </w:r>
          </w:p>
          <w:p>
            <w:pPr>
              <w:adjustRightInd w:val="0"/>
              <w:jc w:val="center"/>
              <w:rPr>
                <w:sz w:val="24"/>
              </w:rPr>
            </w:pPr>
            <w:r>
              <w:rPr>
                <w:rFonts w:hint="eastAsia"/>
                <w:sz w:val="24"/>
              </w:rPr>
              <w:t>泗州桥</w:t>
            </w:r>
          </w:p>
        </w:tc>
        <w:tc>
          <w:tcPr>
            <w:tcW w:w="4808" w:type="dxa"/>
          </w:tcPr>
          <w:p>
            <w:pPr>
              <w:adjustRightInd w:val="0"/>
              <w:rPr>
                <w:rFonts w:eastAsia="仿宋"/>
                <w:sz w:val="24"/>
              </w:rPr>
            </w:pPr>
            <w:r>
              <w:rPr>
                <w:rFonts w:eastAsia="仿宋"/>
                <w:sz w:val="24"/>
              </w:rPr>
              <w:drawing>
                <wp:inline distT="0" distB="0" distL="0" distR="0">
                  <wp:extent cx="2915920" cy="2699385"/>
                  <wp:effectExtent l="0" t="0" r="0" b="5715"/>
                  <wp:docPr id="27" name="图片 27" descr="C:\Users\Administrator\Desktop\大运河调研\第二次调研\泗州桥\5448769af877ccf8f34fd453a3f2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Administrator\Desktop\大运河调研\第二次调研\泗州桥\5448769af877ccf8f34fd453a3f20530.jpg"/>
                          <pic:cNvPicPr preferRelativeResize="0">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2915920" cy="2699385"/>
                          </a:xfrm>
                          <a:prstGeom prst="rect">
                            <a:avLst/>
                          </a:prstGeom>
                          <a:noFill/>
                          <a:ln>
                            <a:noFill/>
                          </a:ln>
                          <a:effectLst>
                            <a:softEdge rad="25400"/>
                          </a:effectLst>
                        </pic:spPr>
                      </pic:pic>
                    </a:graphicData>
                  </a:graphic>
                </wp:inline>
              </w:drawing>
            </w:r>
          </w:p>
        </w:tc>
      </w:tr>
    </w:tbl>
    <w:p>
      <w:pPr>
        <w:rPr>
          <w:sz w:val="24"/>
        </w:rPr>
      </w:pPr>
    </w:p>
    <w:p>
      <w:pPr>
        <w:pStyle w:val="6"/>
        <w:spacing w:before="62" w:after="62"/>
        <w:rPr>
          <w:rFonts w:ascii="Times New Roman" w:hAnsi="Times New Roman"/>
        </w:rPr>
      </w:pPr>
      <w:r>
        <w:rPr>
          <w:rFonts w:hint="eastAsia" w:ascii="Times New Roman" w:hAnsi="Times New Roman"/>
        </w:rPr>
        <w:t xml:space="preserve">3.2.2.2 </w:t>
      </w:r>
      <w:r>
        <w:rPr>
          <w:rFonts w:hint="eastAsia" w:ascii="宋体" w:hAnsi="宋体" w:eastAsia="宋体"/>
        </w:rPr>
        <w:t>成因分析</w:t>
      </w:r>
    </w:p>
    <w:p>
      <w:pPr>
        <w:spacing w:line="360" w:lineRule="auto"/>
        <w:ind w:firstLine="560" w:firstLineChars="200"/>
        <w:rPr>
          <w:rFonts w:eastAsiaTheme="minorEastAsia"/>
          <w:sz w:val="28"/>
          <w:szCs w:val="28"/>
        </w:rPr>
      </w:pPr>
      <w:r>
        <w:rPr>
          <w:rFonts w:hint="eastAsia" w:eastAsiaTheme="minorEastAsia"/>
          <w:sz w:val="28"/>
          <w:szCs w:val="28"/>
        </w:rPr>
        <w:t>由于城镇发展以及管理不善，使河道成为普通生活排污沟，尤其是雨季，污水和雨水不分，恶化了人民的生活环境，城区</w:t>
      </w:r>
      <w:r>
        <w:rPr>
          <w:rFonts w:eastAsiaTheme="minorEastAsia"/>
          <w:sz w:val="28"/>
          <w:szCs w:val="28"/>
        </w:rPr>
        <w:t>沿岸有多处小区</w:t>
      </w:r>
      <w:r>
        <w:rPr>
          <w:rFonts w:hint="eastAsia" w:eastAsiaTheme="minorEastAsia"/>
          <w:sz w:val="28"/>
          <w:szCs w:val="28"/>
        </w:rPr>
        <w:t>，</w:t>
      </w:r>
      <w:r>
        <w:rPr>
          <w:rFonts w:eastAsiaTheme="minorEastAsia"/>
          <w:sz w:val="28"/>
          <w:szCs w:val="28"/>
        </w:rPr>
        <w:t>生活、建筑垃圾清理不及时不彻底，垃圾中大量污染物质经雨水冲刷、河水浸泡、洪水席卷直接进入水体，对水体造成污染。</w:t>
      </w:r>
    </w:p>
    <w:p>
      <w:pPr>
        <w:spacing w:line="360" w:lineRule="auto"/>
        <w:jc w:val="center"/>
        <w:rPr>
          <w:rFonts w:eastAsiaTheme="minorEastAsia"/>
          <w:sz w:val="28"/>
          <w:szCs w:val="28"/>
        </w:rPr>
      </w:pPr>
      <w:r>
        <w:drawing>
          <wp:inline distT="0" distB="0" distL="0" distR="0">
            <wp:extent cx="2519680" cy="2159635"/>
            <wp:effectExtent l="0" t="0" r="0" b="0"/>
            <wp:docPr id="31" name="图片 31"/>
            <wp:cNvGraphicFramePr/>
            <a:graphic xmlns:a="http://schemas.openxmlformats.org/drawingml/2006/main">
              <a:graphicData uri="http://schemas.openxmlformats.org/drawingml/2006/picture">
                <pic:pic xmlns:pic="http://schemas.openxmlformats.org/drawingml/2006/picture">
                  <pic:nvPicPr>
                    <pic:cNvPr id="31" name="图片 31"/>
                    <pic:cNvPicPr preferRelativeResize="0"/>
                  </pic:nvPicPr>
                  <pic:blipFill>
                    <a:blip r:embed="rId53"/>
                    <a:stretch>
                      <a:fillRect/>
                    </a:stretch>
                  </pic:blipFill>
                  <pic:spPr>
                    <a:xfrm>
                      <a:off x="0" y="0"/>
                      <a:ext cx="2520000" cy="2160000"/>
                    </a:xfrm>
                    <a:prstGeom prst="rect">
                      <a:avLst/>
                    </a:prstGeom>
                    <a:effectLst>
                      <a:softEdge rad="25400"/>
                    </a:effectLst>
                  </pic:spPr>
                </pic:pic>
              </a:graphicData>
            </a:graphic>
          </wp:inline>
        </w:drawing>
      </w:r>
      <w:r>
        <w:rPr>
          <w:rFonts w:eastAsiaTheme="minorEastAsia"/>
          <w:sz w:val="28"/>
          <w:szCs w:val="28"/>
        </w:rPr>
        <w:drawing>
          <wp:inline distT="0" distB="0" distL="0" distR="0">
            <wp:extent cx="2519680" cy="2159635"/>
            <wp:effectExtent l="0" t="0" r="0" b="0"/>
            <wp:docPr id="30" name="图片 30" descr="C:\Users\Administrator\Desktop\大运河调研\第二次调研\东关桥\dc73f4484199de8e436621ae2d6797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Administrator\Desktop\大运河调研\第二次调研\东关桥\dc73f4484199de8e436621ae2d6797bf.jpg"/>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2520000" cy="2160000"/>
                    </a:xfrm>
                    <a:prstGeom prst="rect">
                      <a:avLst/>
                    </a:prstGeom>
                    <a:noFill/>
                    <a:ln>
                      <a:noFill/>
                    </a:ln>
                    <a:effectLst>
                      <a:softEdge rad="25400"/>
                    </a:effectLst>
                  </pic:spPr>
                </pic:pic>
              </a:graphicData>
            </a:graphic>
          </wp:inline>
        </w:drawing>
      </w:r>
    </w:p>
    <w:p>
      <w:pPr>
        <w:spacing w:line="360" w:lineRule="auto"/>
        <w:jc w:val="center"/>
        <w:rPr>
          <w:rFonts w:eastAsiaTheme="minorEastAsia"/>
          <w:sz w:val="28"/>
          <w:szCs w:val="28"/>
        </w:rPr>
      </w:pPr>
      <w:r>
        <w:rPr>
          <w:rFonts w:eastAsiaTheme="minorEastAsia"/>
          <w:sz w:val="28"/>
          <w:szCs w:val="28"/>
        </w:rPr>
        <w:drawing>
          <wp:inline distT="0" distB="0" distL="0" distR="0">
            <wp:extent cx="2519680" cy="2159635"/>
            <wp:effectExtent l="0" t="0" r="0" b="0"/>
            <wp:docPr id="32" name="图片 32" descr="C:\Users\Administrator\Desktop\大运河调研\第一次调研\泗州桥\62c06c444973ae933f4d308722c69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Administrator\Desktop\大运河调研\第一次调研\泗州桥\62c06c444973ae933f4d308722c69426.jpg"/>
                    <pic:cNvPicPr preferRelativeResize="0">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520000" cy="2160000"/>
                    </a:xfrm>
                    <a:prstGeom prst="rect">
                      <a:avLst/>
                    </a:prstGeom>
                    <a:noFill/>
                    <a:ln>
                      <a:noFill/>
                    </a:ln>
                    <a:effectLst>
                      <a:softEdge rad="25400"/>
                    </a:effectLst>
                  </pic:spPr>
                </pic:pic>
              </a:graphicData>
            </a:graphic>
          </wp:inline>
        </w:drawing>
      </w:r>
      <w:r>
        <w:rPr>
          <w:rFonts w:eastAsia="Times New Roman"/>
          <w:snapToGrid w:val="0"/>
          <w:color w:val="000000"/>
          <w:w w:val="0"/>
          <w:kern w:val="0"/>
          <w:sz w:val="0"/>
          <w:szCs w:val="0"/>
          <w:u w:color="000000"/>
          <w:shd w:val="clear" w:color="000000" w:fill="000000"/>
          <w:lang w:val="zh-CN" w:bidi="zh-CN"/>
        </w:rPr>
        <w:t xml:space="preserve"> </w:t>
      </w:r>
      <w:r>
        <w:rPr>
          <w:rFonts w:eastAsiaTheme="minorEastAsia"/>
          <w:sz w:val="28"/>
          <w:szCs w:val="28"/>
        </w:rPr>
        <w:drawing>
          <wp:inline distT="0" distB="0" distL="0" distR="0">
            <wp:extent cx="2519680" cy="2159635"/>
            <wp:effectExtent l="0" t="0" r="0" b="0"/>
            <wp:docPr id="33" name="图片 33" descr="C:\Users\Administrator\Desktop\大运河调研\第二次调研\丹凤桥\7b6a62a10680cf6c2b028a08c86a2f9b.jpg_tem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Administrator\Desktop\大运河调研\第二次调研\丹凤桥\7b6a62a10680cf6c2b028a08c86a2f9b.jpg_temp.bmp"/>
                    <pic:cNvPicPr preferRelativeResize="0">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2520000" cy="2160000"/>
                    </a:xfrm>
                    <a:prstGeom prst="rect">
                      <a:avLst/>
                    </a:prstGeom>
                    <a:noFill/>
                    <a:ln>
                      <a:noFill/>
                    </a:ln>
                    <a:effectLst>
                      <a:softEdge rad="25400"/>
                    </a:effectLst>
                  </pic:spPr>
                </pic:pic>
              </a:graphicData>
            </a:graphic>
          </wp:inline>
        </w:drawing>
      </w:r>
    </w:p>
    <w:p>
      <w:pPr>
        <w:spacing w:line="360" w:lineRule="auto"/>
        <w:jc w:val="center"/>
        <w:rPr>
          <w:b/>
          <w:bCs/>
          <w:sz w:val="24"/>
        </w:rPr>
      </w:pPr>
      <w:r>
        <w:rPr>
          <w:rFonts w:hint="eastAsia"/>
          <w:b/>
          <w:bCs/>
          <w:sz w:val="24"/>
        </w:rPr>
        <w:t>图3-2  城区污染源调研图</w:t>
      </w:r>
    </w:p>
    <w:p>
      <w:pPr>
        <w:spacing w:line="360" w:lineRule="auto"/>
        <w:jc w:val="center"/>
        <w:rPr>
          <w:b/>
          <w:bCs/>
          <w:sz w:val="24"/>
          <w:szCs w:val="21"/>
        </w:rPr>
      </w:pPr>
    </w:p>
    <w:p>
      <w:pPr>
        <w:pStyle w:val="25"/>
        <w:spacing w:before="156" w:after="156"/>
        <w:ind w:left="0" w:leftChars="0"/>
      </w:pPr>
      <w:bookmarkStart w:id="124" w:name="_Toc84536535"/>
      <w:r>
        <w:rPr>
          <w:rFonts w:hint="eastAsia"/>
        </w:rPr>
        <w:t>3.2.2 农业面源</w:t>
      </w:r>
      <w:bookmarkEnd w:id="124"/>
    </w:p>
    <w:p>
      <w:pPr>
        <w:pStyle w:val="6"/>
        <w:spacing w:before="62" w:after="62"/>
        <w:rPr>
          <w:rFonts w:ascii="Times New Roman" w:hAnsi="Times New Roman"/>
        </w:rPr>
      </w:pPr>
      <w:r>
        <w:rPr>
          <w:rFonts w:hint="eastAsia" w:ascii="Times New Roman" w:hAnsi="Times New Roman"/>
        </w:rPr>
        <w:t xml:space="preserve">3.2.2.1 </w:t>
      </w:r>
      <w:r>
        <w:rPr>
          <w:rFonts w:hint="eastAsia" w:ascii="宋体" w:hAnsi="宋体" w:eastAsia="宋体"/>
          <w:color w:val="000000" w:themeColor="text1"/>
          <w14:textFill>
            <w14:solidFill>
              <w14:schemeClr w14:val="tx1"/>
            </w14:solidFill>
          </w14:textFill>
        </w:rPr>
        <w:t>现状问题</w:t>
      </w:r>
    </w:p>
    <w:p>
      <w:pPr>
        <w:spacing w:line="360" w:lineRule="auto"/>
        <w:ind w:firstLine="560" w:firstLineChars="200"/>
        <w:rPr>
          <w:rFonts w:eastAsiaTheme="minorEastAsia"/>
          <w:sz w:val="28"/>
          <w:szCs w:val="28"/>
        </w:rPr>
      </w:pPr>
      <w:r>
        <w:rPr>
          <w:rFonts w:hint="eastAsia" w:eastAsiaTheme="minorEastAsia"/>
          <w:sz w:val="28"/>
          <w:szCs w:val="28"/>
        </w:rPr>
        <w:t>根据现场调研情况，大运河泗县段河道沿岸农村生活污水收集和处理能力不足，存在生活污水直排和富营养化现象，河岸两边有垃圾堆积，侵占岸线问题依然存在，两岸人为抢占河道现象严重，部分岸线被侵占用于农作物种植。现场调研具体</w:t>
      </w:r>
      <w:r>
        <w:rPr>
          <w:rFonts w:eastAsiaTheme="minorEastAsia"/>
          <w:sz w:val="28"/>
          <w:szCs w:val="28"/>
        </w:rPr>
        <w:t>情况见表</w:t>
      </w:r>
      <w:r>
        <w:rPr>
          <w:rFonts w:hint="eastAsia" w:eastAsiaTheme="minorEastAsia"/>
          <w:sz w:val="28"/>
          <w:szCs w:val="28"/>
        </w:rPr>
        <w:t>3-3</w:t>
      </w:r>
      <w:r>
        <w:rPr>
          <w:rFonts w:eastAsiaTheme="minorEastAsia"/>
          <w:sz w:val="28"/>
          <w:szCs w:val="28"/>
        </w:rPr>
        <w:t>。</w:t>
      </w:r>
    </w:p>
    <w:p>
      <w:pPr>
        <w:spacing w:line="360" w:lineRule="auto"/>
        <w:jc w:val="center"/>
        <w:rPr>
          <w:b/>
          <w:bCs/>
          <w:sz w:val="24"/>
        </w:rPr>
      </w:pPr>
    </w:p>
    <w:p>
      <w:pPr>
        <w:spacing w:line="360" w:lineRule="auto"/>
        <w:jc w:val="center"/>
        <w:rPr>
          <w:b/>
          <w:bCs/>
          <w:sz w:val="24"/>
        </w:rPr>
      </w:pPr>
    </w:p>
    <w:p>
      <w:pPr>
        <w:spacing w:line="360" w:lineRule="auto"/>
        <w:jc w:val="center"/>
        <w:rPr>
          <w:b/>
          <w:bCs/>
          <w:sz w:val="24"/>
        </w:rPr>
      </w:pPr>
    </w:p>
    <w:p>
      <w:pPr>
        <w:spacing w:line="360" w:lineRule="auto"/>
        <w:jc w:val="center"/>
        <w:rPr>
          <w:b/>
          <w:bCs/>
          <w:sz w:val="24"/>
        </w:rPr>
      </w:pPr>
    </w:p>
    <w:p>
      <w:pPr>
        <w:spacing w:line="360" w:lineRule="auto"/>
        <w:jc w:val="center"/>
        <w:rPr>
          <w:b/>
          <w:bCs/>
          <w:sz w:val="24"/>
        </w:rPr>
      </w:pPr>
      <w:r>
        <w:rPr>
          <w:b/>
          <w:bCs/>
          <w:sz w:val="24"/>
        </w:rPr>
        <w:t>表</w:t>
      </w:r>
      <w:r>
        <w:rPr>
          <w:rFonts w:hint="eastAsia"/>
          <w:b/>
          <w:bCs/>
          <w:sz w:val="24"/>
        </w:rPr>
        <w:t>3-3</w:t>
      </w:r>
      <w:r>
        <w:rPr>
          <w:b/>
          <w:bCs/>
          <w:sz w:val="24"/>
        </w:rPr>
        <w:t xml:space="preserve">  城镇生活污染勘察结果一览表</w:t>
      </w:r>
    </w:p>
    <w:tbl>
      <w:tblPr>
        <w:tblStyle w:val="28"/>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1"/>
        <w:gridCol w:w="1562"/>
        <w:gridCol w:w="1627"/>
        <w:gridCol w:w="48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blHeader/>
        </w:trPr>
        <w:tc>
          <w:tcPr>
            <w:tcW w:w="531" w:type="dxa"/>
            <w:vAlign w:val="center"/>
          </w:tcPr>
          <w:p>
            <w:pPr>
              <w:adjustRightInd w:val="0"/>
              <w:jc w:val="center"/>
              <w:rPr>
                <w:rFonts w:ascii="宋体" w:hAnsi="宋体"/>
                <w:b/>
                <w:sz w:val="24"/>
              </w:rPr>
            </w:pPr>
            <w:r>
              <w:rPr>
                <w:rFonts w:ascii="宋体" w:hAnsi="宋体"/>
                <w:b/>
                <w:sz w:val="24"/>
              </w:rPr>
              <w:t>编号</w:t>
            </w:r>
          </w:p>
        </w:tc>
        <w:tc>
          <w:tcPr>
            <w:tcW w:w="1562" w:type="dxa"/>
            <w:vAlign w:val="center"/>
          </w:tcPr>
          <w:p>
            <w:pPr>
              <w:adjustRightInd w:val="0"/>
              <w:jc w:val="center"/>
              <w:rPr>
                <w:rFonts w:ascii="宋体" w:hAnsi="宋体"/>
                <w:b/>
                <w:sz w:val="24"/>
              </w:rPr>
            </w:pPr>
            <w:r>
              <w:rPr>
                <w:rFonts w:ascii="宋体" w:hAnsi="宋体"/>
                <w:b/>
                <w:sz w:val="24"/>
              </w:rPr>
              <w:t>现场勘查</w:t>
            </w:r>
          </w:p>
          <w:p>
            <w:pPr>
              <w:adjustRightInd w:val="0"/>
              <w:jc w:val="center"/>
              <w:rPr>
                <w:rFonts w:ascii="宋体" w:hAnsi="宋体"/>
                <w:b/>
                <w:sz w:val="24"/>
              </w:rPr>
            </w:pPr>
            <w:r>
              <w:rPr>
                <w:rFonts w:ascii="宋体" w:hAnsi="宋体"/>
                <w:b/>
                <w:sz w:val="24"/>
              </w:rPr>
              <w:t>情况</w:t>
            </w:r>
          </w:p>
        </w:tc>
        <w:tc>
          <w:tcPr>
            <w:tcW w:w="1627" w:type="dxa"/>
            <w:vAlign w:val="center"/>
          </w:tcPr>
          <w:p>
            <w:pPr>
              <w:adjustRightInd w:val="0"/>
              <w:jc w:val="center"/>
              <w:rPr>
                <w:rFonts w:ascii="宋体" w:hAnsi="宋体"/>
                <w:b/>
                <w:sz w:val="24"/>
              </w:rPr>
            </w:pPr>
            <w:r>
              <w:rPr>
                <w:rFonts w:ascii="宋体" w:hAnsi="宋体"/>
                <w:b/>
                <w:sz w:val="24"/>
              </w:rPr>
              <w:t>坐标</w:t>
            </w:r>
          </w:p>
        </w:tc>
        <w:tc>
          <w:tcPr>
            <w:tcW w:w="4808" w:type="dxa"/>
            <w:vAlign w:val="center"/>
          </w:tcPr>
          <w:p>
            <w:pPr>
              <w:adjustRightInd w:val="0"/>
              <w:jc w:val="center"/>
              <w:rPr>
                <w:rFonts w:ascii="宋体" w:hAnsi="宋体"/>
                <w:b/>
                <w:sz w:val="24"/>
              </w:rPr>
            </w:pPr>
            <w:r>
              <w:rPr>
                <w:rFonts w:ascii="宋体" w:hAnsi="宋体"/>
                <w:b/>
                <w:sz w:val="24"/>
              </w:rPr>
              <w:t>照片资料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11" w:hRule="atLeast"/>
        </w:trPr>
        <w:tc>
          <w:tcPr>
            <w:tcW w:w="531" w:type="dxa"/>
            <w:vAlign w:val="center"/>
          </w:tcPr>
          <w:p>
            <w:pPr>
              <w:adjustRightInd w:val="0"/>
              <w:jc w:val="center"/>
              <w:rPr>
                <w:sz w:val="24"/>
              </w:rPr>
            </w:pPr>
            <w:r>
              <w:rPr>
                <w:rFonts w:hint="eastAsia"/>
                <w:sz w:val="24"/>
              </w:rPr>
              <w:t>1</w:t>
            </w:r>
          </w:p>
        </w:tc>
        <w:tc>
          <w:tcPr>
            <w:tcW w:w="1562" w:type="dxa"/>
            <w:vAlign w:val="center"/>
          </w:tcPr>
          <w:p>
            <w:pPr>
              <w:adjustRightInd w:val="0"/>
              <w:jc w:val="center"/>
              <w:rPr>
                <w:sz w:val="24"/>
              </w:rPr>
            </w:pPr>
            <w:r>
              <w:rPr>
                <w:rFonts w:hint="eastAsia"/>
                <w:sz w:val="24"/>
              </w:rPr>
              <w:t>该河段水体呈绿色，浑浊，有白色泡沫，约12户人家均存在生活污水直排现象，其中包括1家饭店，1家汽修间</w:t>
            </w:r>
          </w:p>
        </w:tc>
        <w:tc>
          <w:tcPr>
            <w:tcW w:w="1627" w:type="dxa"/>
            <w:vAlign w:val="center"/>
          </w:tcPr>
          <w:p>
            <w:pPr>
              <w:adjustRightInd w:val="0"/>
              <w:jc w:val="center"/>
              <w:rPr>
                <w:sz w:val="24"/>
              </w:rPr>
            </w:pPr>
            <w:r>
              <w:rPr>
                <w:sz w:val="24"/>
              </w:rPr>
              <w:t>N：</w:t>
            </w:r>
            <w:r>
              <w:rPr>
                <w:rFonts w:hint="eastAsia"/>
                <w:color w:val="000000"/>
                <w:sz w:val="24"/>
              </w:rPr>
              <w:t>33</w:t>
            </w:r>
            <w:r>
              <w:rPr>
                <w:color w:val="000000"/>
                <w:sz w:val="24"/>
              </w:rPr>
              <w:t>°</w:t>
            </w:r>
            <w:r>
              <w:rPr>
                <w:rFonts w:hint="eastAsia"/>
                <w:color w:val="000000"/>
                <w:sz w:val="24"/>
              </w:rPr>
              <w:t>30</w:t>
            </w:r>
            <w:r>
              <w:rPr>
                <w:color w:val="000000"/>
                <w:sz w:val="24"/>
              </w:rPr>
              <w:t>′</w:t>
            </w:r>
            <w:r>
              <w:rPr>
                <w:rFonts w:hint="eastAsia"/>
                <w:color w:val="000000"/>
                <w:sz w:val="24"/>
              </w:rPr>
              <w:t>43</w:t>
            </w:r>
            <w:r>
              <w:rPr>
                <w:color w:val="000000"/>
                <w:sz w:val="24"/>
              </w:rPr>
              <w:t>″</w:t>
            </w:r>
          </w:p>
          <w:p>
            <w:pPr>
              <w:adjustRightInd w:val="0"/>
              <w:jc w:val="center"/>
              <w:rPr>
                <w:color w:val="000000"/>
                <w:sz w:val="24"/>
              </w:rPr>
            </w:pPr>
            <w:r>
              <w:rPr>
                <w:sz w:val="24"/>
              </w:rPr>
              <w:t>E：</w:t>
            </w:r>
            <w:r>
              <w:rPr>
                <w:rFonts w:hint="eastAsia"/>
                <w:color w:val="000000"/>
                <w:sz w:val="24"/>
              </w:rPr>
              <w:t>117</w:t>
            </w:r>
            <w:r>
              <w:rPr>
                <w:color w:val="000000"/>
                <w:sz w:val="24"/>
              </w:rPr>
              <w:t>°</w:t>
            </w:r>
            <w:r>
              <w:rPr>
                <w:rFonts w:hint="eastAsia"/>
                <w:color w:val="000000"/>
                <w:sz w:val="24"/>
              </w:rPr>
              <w:t>42</w:t>
            </w:r>
            <w:r>
              <w:rPr>
                <w:color w:val="000000"/>
                <w:sz w:val="24"/>
              </w:rPr>
              <w:t>′</w:t>
            </w:r>
            <w:r>
              <w:rPr>
                <w:rFonts w:hint="eastAsia"/>
                <w:color w:val="000000"/>
                <w:sz w:val="24"/>
              </w:rPr>
              <w:t>55</w:t>
            </w:r>
            <w:r>
              <w:rPr>
                <w:color w:val="000000"/>
                <w:sz w:val="24"/>
              </w:rPr>
              <w:t>″</w:t>
            </w:r>
          </w:p>
          <w:p>
            <w:pPr>
              <w:adjustRightInd w:val="0"/>
              <w:jc w:val="center"/>
              <w:rPr>
                <w:sz w:val="24"/>
              </w:rPr>
            </w:pPr>
            <w:r>
              <w:rPr>
                <w:rFonts w:hint="eastAsia"/>
                <w:color w:val="000000"/>
                <w:sz w:val="24"/>
              </w:rPr>
              <w:t>053县道桥</w:t>
            </w:r>
          </w:p>
        </w:tc>
        <w:tc>
          <w:tcPr>
            <w:tcW w:w="4808" w:type="dxa"/>
          </w:tcPr>
          <w:p>
            <w:pPr>
              <w:adjustRightInd w:val="0"/>
              <w:rPr>
                <w:rFonts w:eastAsia="仿宋"/>
                <w:sz w:val="24"/>
              </w:rPr>
            </w:pPr>
            <w:r>
              <w:rPr>
                <w:rFonts w:eastAsia="仿宋"/>
                <w:sz w:val="24"/>
              </w:rPr>
              <w:drawing>
                <wp:inline distT="0" distB="0" distL="0" distR="0">
                  <wp:extent cx="2914650" cy="2476500"/>
                  <wp:effectExtent l="0" t="0" r="0" b="0"/>
                  <wp:docPr id="35" name="图片 35" descr="C:\Users\Administrator\Desktop\大运河调研\第二次调研\053县道桥\dfc4668ad5c7586f9f284855d8ad43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Administrator\Desktop\大运河调研\第二次调研\053县道桥\dfc4668ad5c7586f9f284855d8ad43b6.jpg"/>
                          <pic:cNvPicPr preferRelativeResize="0">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2916000" cy="2477647"/>
                          </a:xfrm>
                          <a:prstGeom prst="rect">
                            <a:avLst/>
                          </a:prstGeom>
                          <a:noFill/>
                          <a:ln>
                            <a:noFill/>
                          </a:ln>
                          <a:effectLst>
                            <a:softEdge rad="25400"/>
                          </a:effectLst>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 w:type="dxa"/>
            <w:vAlign w:val="center"/>
          </w:tcPr>
          <w:p>
            <w:pPr>
              <w:adjustRightInd w:val="0"/>
              <w:jc w:val="center"/>
              <w:rPr>
                <w:sz w:val="24"/>
              </w:rPr>
            </w:pPr>
            <w:r>
              <w:rPr>
                <w:rFonts w:hint="eastAsia"/>
                <w:sz w:val="24"/>
              </w:rPr>
              <w:t>2</w:t>
            </w:r>
          </w:p>
        </w:tc>
        <w:tc>
          <w:tcPr>
            <w:tcW w:w="1562" w:type="dxa"/>
            <w:vAlign w:val="center"/>
          </w:tcPr>
          <w:p>
            <w:pPr>
              <w:adjustRightInd w:val="0"/>
              <w:jc w:val="center"/>
              <w:rPr>
                <w:sz w:val="24"/>
              </w:rPr>
            </w:pPr>
            <w:r>
              <w:rPr>
                <w:rFonts w:hint="eastAsia"/>
                <w:sz w:val="24"/>
              </w:rPr>
              <w:t>该河段存在岸线被侵占用于农作物种植现象</w:t>
            </w:r>
          </w:p>
        </w:tc>
        <w:tc>
          <w:tcPr>
            <w:tcW w:w="1627" w:type="dxa"/>
            <w:vAlign w:val="center"/>
          </w:tcPr>
          <w:p>
            <w:pPr>
              <w:adjustRightInd w:val="0"/>
              <w:jc w:val="center"/>
              <w:rPr>
                <w:sz w:val="24"/>
              </w:rPr>
            </w:pPr>
            <w:r>
              <w:rPr>
                <w:sz w:val="24"/>
              </w:rPr>
              <w:t>N：</w:t>
            </w:r>
            <w:r>
              <w:rPr>
                <w:rFonts w:hint="eastAsia"/>
                <w:color w:val="000000"/>
                <w:sz w:val="24"/>
              </w:rPr>
              <w:t>33</w:t>
            </w:r>
            <w:r>
              <w:rPr>
                <w:color w:val="000000"/>
                <w:sz w:val="24"/>
              </w:rPr>
              <w:t>°</w:t>
            </w:r>
            <w:r>
              <w:rPr>
                <w:rFonts w:hint="eastAsia"/>
                <w:color w:val="000000"/>
                <w:sz w:val="24"/>
              </w:rPr>
              <w:t>29</w:t>
            </w:r>
            <w:r>
              <w:rPr>
                <w:color w:val="000000"/>
                <w:sz w:val="24"/>
              </w:rPr>
              <w:t>′</w:t>
            </w:r>
            <w:r>
              <w:rPr>
                <w:rFonts w:hint="eastAsia"/>
                <w:color w:val="000000"/>
                <w:sz w:val="24"/>
              </w:rPr>
              <w:t>9</w:t>
            </w:r>
            <w:r>
              <w:rPr>
                <w:color w:val="000000"/>
                <w:sz w:val="24"/>
              </w:rPr>
              <w:t>″</w:t>
            </w:r>
          </w:p>
          <w:p>
            <w:pPr>
              <w:adjustRightInd w:val="0"/>
              <w:jc w:val="center"/>
              <w:rPr>
                <w:color w:val="000000"/>
                <w:sz w:val="24"/>
              </w:rPr>
            </w:pPr>
            <w:r>
              <w:rPr>
                <w:sz w:val="24"/>
              </w:rPr>
              <w:t>E：</w:t>
            </w:r>
            <w:r>
              <w:rPr>
                <w:rFonts w:hint="eastAsia"/>
                <w:color w:val="000000"/>
                <w:sz w:val="24"/>
              </w:rPr>
              <w:t>117</w:t>
            </w:r>
            <w:r>
              <w:rPr>
                <w:color w:val="000000"/>
                <w:sz w:val="24"/>
              </w:rPr>
              <w:t>°</w:t>
            </w:r>
            <w:r>
              <w:rPr>
                <w:rFonts w:hint="eastAsia"/>
                <w:color w:val="000000"/>
                <w:sz w:val="24"/>
              </w:rPr>
              <w:t>47</w:t>
            </w:r>
            <w:r>
              <w:rPr>
                <w:color w:val="000000"/>
                <w:sz w:val="24"/>
              </w:rPr>
              <w:t>′</w:t>
            </w:r>
            <w:r>
              <w:rPr>
                <w:rFonts w:hint="eastAsia"/>
                <w:color w:val="000000"/>
                <w:sz w:val="24"/>
              </w:rPr>
              <w:t>22</w:t>
            </w:r>
            <w:r>
              <w:rPr>
                <w:color w:val="000000"/>
                <w:sz w:val="24"/>
              </w:rPr>
              <w:t>″</w:t>
            </w:r>
          </w:p>
          <w:p>
            <w:pPr>
              <w:adjustRightInd w:val="0"/>
              <w:jc w:val="center"/>
              <w:rPr>
                <w:sz w:val="24"/>
              </w:rPr>
            </w:pPr>
            <w:r>
              <w:rPr>
                <w:rFonts w:hint="eastAsia"/>
                <w:color w:val="000000"/>
                <w:sz w:val="24"/>
              </w:rPr>
              <w:t>072乡道桥</w:t>
            </w:r>
          </w:p>
        </w:tc>
        <w:tc>
          <w:tcPr>
            <w:tcW w:w="4808" w:type="dxa"/>
          </w:tcPr>
          <w:p>
            <w:pPr>
              <w:adjustRightInd w:val="0"/>
              <w:rPr>
                <w:rFonts w:eastAsia="仿宋"/>
                <w:sz w:val="24"/>
              </w:rPr>
            </w:pPr>
            <w:r>
              <w:rPr>
                <w:rFonts w:eastAsia="仿宋"/>
                <w:sz w:val="24"/>
              </w:rPr>
              <w:drawing>
                <wp:inline distT="0" distB="0" distL="0" distR="0">
                  <wp:extent cx="2915920" cy="2231390"/>
                  <wp:effectExtent l="0" t="0" r="0" b="0"/>
                  <wp:docPr id="36" name="图片 36" descr="C:\Users\Administrator\Desktop\大运河调研\第二次调研\072乡道桥\e634395f2a17e8aa3e6a36eaf989f9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Administrator\Desktop\大运河调研\第二次调研\072乡道桥\e634395f2a17e8aa3e6a36eaf989f9fb.jpg"/>
                          <pic:cNvPicPr preferRelativeResize="0">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2916000" cy="2232000"/>
                          </a:xfrm>
                          <a:prstGeom prst="rect">
                            <a:avLst/>
                          </a:prstGeom>
                          <a:noFill/>
                          <a:ln>
                            <a:noFill/>
                          </a:ln>
                          <a:effectLst>
                            <a:softEdge rad="25400"/>
                          </a:effectLst>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31" w:type="dxa"/>
            <w:vAlign w:val="center"/>
          </w:tcPr>
          <w:p>
            <w:pPr>
              <w:adjustRightInd w:val="0"/>
              <w:jc w:val="center"/>
              <w:rPr>
                <w:sz w:val="24"/>
              </w:rPr>
            </w:pPr>
            <w:r>
              <w:rPr>
                <w:rFonts w:hint="eastAsia"/>
                <w:sz w:val="24"/>
              </w:rPr>
              <w:t>3</w:t>
            </w:r>
          </w:p>
        </w:tc>
        <w:tc>
          <w:tcPr>
            <w:tcW w:w="1562" w:type="dxa"/>
            <w:vAlign w:val="center"/>
          </w:tcPr>
          <w:p>
            <w:pPr>
              <w:adjustRightInd w:val="0"/>
              <w:jc w:val="center"/>
              <w:rPr>
                <w:sz w:val="24"/>
              </w:rPr>
            </w:pPr>
            <w:r>
              <w:rPr>
                <w:rFonts w:hint="eastAsia"/>
                <w:sz w:val="24"/>
              </w:rPr>
              <w:t>河道内存在垃圾，河面有油状漂浮物</w:t>
            </w:r>
          </w:p>
        </w:tc>
        <w:tc>
          <w:tcPr>
            <w:tcW w:w="1627" w:type="dxa"/>
            <w:vAlign w:val="center"/>
          </w:tcPr>
          <w:p>
            <w:pPr>
              <w:adjustRightInd w:val="0"/>
              <w:jc w:val="center"/>
              <w:rPr>
                <w:sz w:val="24"/>
              </w:rPr>
            </w:pPr>
            <w:r>
              <w:rPr>
                <w:sz w:val="24"/>
              </w:rPr>
              <w:t>N：</w:t>
            </w:r>
            <w:r>
              <w:rPr>
                <w:rFonts w:hint="eastAsia"/>
                <w:color w:val="000000"/>
                <w:sz w:val="24"/>
              </w:rPr>
              <w:t>33</w:t>
            </w:r>
            <w:r>
              <w:rPr>
                <w:color w:val="000000"/>
                <w:sz w:val="24"/>
              </w:rPr>
              <w:t>°</w:t>
            </w:r>
            <w:r>
              <w:rPr>
                <w:rFonts w:hint="eastAsia"/>
                <w:color w:val="000000"/>
                <w:sz w:val="24"/>
              </w:rPr>
              <w:t>29</w:t>
            </w:r>
            <w:r>
              <w:rPr>
                <w:color w:val="000000"/>
                <w:sz w:val="24"/>
              </w:rPr>
              <w:t>′</w:t>
            </w:r>
            <w:r>
              <w:rPr>
                <w:rFonts w:hint="eastAsia"/>
                <w:color w:val="000000"/>
                <w:sz w:val="24"/>
              </w:rPr>
              <w:t>54</w:t>
            </w:r>
            <w:r>
              <w:rPr>
                <w:color w:val="000000"/>
                <w:sz w:val="24"/>
              </w:rPr>
              <w:t>″</w:t>
            </w:r>
          </w:p>
          <w:p>
            <w:pPr>
              <w:adjustRightInd w:val="0"/>
              <w:jc w:val="center"/>
              <w:rPr>
                <w:color w:val="000000"/>
                <w:sz w:val="24"/>
              </w:rPr>
            </w:pPr>
            <w:r>
              <w:rPr>
                <w:sz w:val="24"/>
              </w:rPr>
              <w:t>E：</w:t>
            </w:r>
            <w:r>
              <w:rPr>
                <w:rFonts w:hint="eastAsia"/>
                <w:color w:val="000000"/>
                <w:sz w:val="24"/>
              </w:rPr>
              <w:t>117</w:t>
            </w:r>
            <w:r>
              <w:rPr>
                <w:color w:val="000000"/>
                <w:sz w:val="24"/>
              </w:rPr>
              <w:t>°</w:t>
            </w:r>
            <w:r>
              <w:rPr>
                <w:rFonts w:hint="eastAsia"/>
                <w:color w:val="000000"/>
                <w:sz w:val="24"/>
              </w:rPr>
              <w:t>44</w:t>
            </w:r>
            <w:r>
              <w:rPr>
                <w:color w:val="000000"/>
                <w:sz w:val="24"/>
              </w:rPr>
              <w:t>′</w:t>
            </w:r>
            <w:r>
              <w:rPr>
                <w:rFonts w:hint="eastAsia"/>
                <w:color w:val="000000"/>
                <w:sz w:val="24"/>
              </w:rPr>
              <w:t>55</w:t>
            </w:r>
            <w:r>
              <w:rPr>
                <w:color w:val="000000"/>
                <w:sz w:val="24"/>
              </w:rPr>
              <w:t>″</w:t>
            </w:r>
          </w:p>
          <w:p>
            <w:pPr>
              <w:adjustRightInd w:val="0"/>
              <w:jc w:val="center"/>
              <w:rPr>
                <w:sz w:val="24"/>
              </w:rPr>
            </w:pPr>
            <w:r>
              <w:rPr>
                <w:rFonts w:hint="eastAsia"/>
                <w:color w:val="000000"/>
                <w:sz w:val="24"/>
              </w:rPr>
              <w:t>216省道桥</w:t>
            </w:r>
          </w:p>
        </w:tc>
        <w:tc>
          <w:tcPr>
            <w:tcW w:w="4808" w:type="dxa"/>
          </w:tcPr>
          <w:p>
            <w:pPr>
              <w:adjustRightInd w:val="0"/>
              <w:rPr>
                <w:rFonts w:eastAsia="仿宋"/>
                <w:sz w:val="24"/>
              </w:rPr>
            </w:pPr>
            <w:r>
              <w:rPr>
                <w:rFonts w:eastAsia="仿宋"/>
                <w:sz w:val="24"/>
              </w:rPr>
              <w:drawing>
                <wp:inline distT="0" distB="0" distL="0" distR="0">
                  <wp:extent cx="2910840" cy="2524125"/>
                  <wp:effectExtent l="0" t="0" r="3810" b="0"/>
                  <wp:docPr id="37" name="图片 37" descr="C:\Users\Administrator\Desktop\大运河调研\第二次调研\216省道桥\c22b8a96d126850b538334bf85a449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Administrator\Desktop\大运河调研\第二次调研\216省道桥\c22b8a96d126850b538334bf85a449c1.jpg"/>
                          <pic:cNvPicPr preferRelativeResize="0">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916000" cy="2528269"/>
                          </a:xfrm>
                          <a:prstGeom prst="rect">
                            <a:avLst/>
                          </a:prstGeom>
                          <a:noFill/>
                          <a:ln>
                            <a:noFill/>
                          </a:ln>
                          <a:effectLst>
                            <a:softEdge rad="25400"/>
                          </a:effectLst>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24" w:hRule="atLeast"/>
        </w:trPr>
        <w:tc>
          <w:tcPr>
            <w:tcW w:w="531" w:type="dxa"/>
            <w:vAlign w:val="center"/>
          </w:tcPr>
          <w:p>
            <w:pPr>
              <w:adjustRightInd w:val="0"/>
              <w:jc w:val="center"/>
              <w:rPr>
                <w:sz w:val="24"/>
              </w:rPr>
            </w:pPr>
            <w:r>
              <w:rPr>
                <w:rFonts w:hint="eastAsia"/>
                <w:sz w:val="24"/>
              </w:rPr>
              <w:t>4</w:t>
            </w:r>
          </w:p>
        </w:tc>
        <w:tc>
          <w:tcPr>
            <w:tcW w:w="1562" w:type="dxa"/>
            <w:vAlign w:val="center"/>
          </w:tcPr>
          <w:p>
            <w:pPr>
              <w:adjustRightInd w:val="0"/>
              <w:jc w:val="center"/>
              <w:rPr>
                <w:sz w:val="24"/>
              </w:rPr>
            </w:pPr>
            <w:r>
              <w:rPr>
                <w:rFonts w:hint="eastAsia"/>
                <w:sz w:val="24"/>
              </w:rPr>
              <w:t>该河段红萍泛滥，河道水质较差，存在富营养化现象</w:t>
            </w:r>
          </w:p>
        </w:tc>
        <w:tc>
          <w:tcPr>
            <w:tcW w:w="1627" w:type="dxa"/>
            <w:vAlign w:val="center"/>
          </w:tcPr>
          <w:p>
            <w:pPr>
              <w:adjustRightInd w:val="0"/>
              <w:jc w:val="center"/>
              <w:rPr>
                <w:sz w:val="24"/>
              </w:rPr>
            </w:pPr>
            <w:r>
              <w:rPr>
                <w:sz w:val="24"/>
              </w:rPr>
              <w:t>N：</w:t>
            </w:r>
            <w:r>
              <w:rPr>
                <w:rFonts w:hint="eastAsia"/>
                <w:color w:val="000000"/>
                <w:sz w:val="24"/>
              </w:rPr>
              <w:t>33</w:t>
            </w:r>
            <w:r>
              <w:rPr>
                <w:color w:val="000000"/>
                <w:sz w:val="24"/>
              </w:rPr>
              <w:t>°</w:t>
            </w:r>
            <w:r>
              <w:rPr>
                <w:rFonts w:hint="eastAsia"/>
                <w:color w:val="000000"/>
                <w:sz w:val="24"/>
              </w:rPr>
              <w:t>28</w:t>
            </w:r>
            <w:r>
              <w:rPr>
                <w:color w:val="000000"/>
                <w:sz w:val="24"/>
              </w:rPr>
              <w:t>′</w:t>
            </w:r>
            <w:r>
              <w:rPr>
                <w:rFonts w:hint="eastAsia"/>
                <w:color w:val="000000"/>
                <w:sz w:val="24"/>
              </w:rPr>
              <w:t>40</w:t>
            </w:r>
            <w:r>
              <w:rPr>
                <w:color w:val="000000"/>
                <w:sz w:val="24"/>
              </w:rPr>
              <w:t>″</w:t>
            </w:r>
          </w:p>
          <w:p>
            <w:pPr>
              <w:adjustRightInd w:val="0"/>
              <w:jc w:val="center"/>
              <w:rPr>
                <w:color w:val="000000"/>
                <w:sz w:val="24"/>
              </w:rPr>
            </w:pPr>
            <w:r>
              <w:rPr>
                <w:sz w:val="24"/>
              </w:rPr>
              <w:t>E：</w:t>
            </w:r>
            <w:r>
              <w:rPr>
                <w:rFonts w:hint="eastAsia"/>
                <w:color w:val="000000"/>
                <w:sz w:val="24"/>
              </w:rPr>
              <w:t>117</w:t>
            </w:r>
            <w:r>
              <w:rPr>
                <w:color w:val="000000"/>
                <w:sz w:val="24"/>
              </w:rPr>
              <w:t>°</w:t>
            </w:r>
            <w:r>
              <w:rPr>
                <w:rFonts w:hint="eastAsia"/>
                <w:color w:val="000000"/>
                <w:sz w:val="24"/>
              </w:rPr>
              <w:t>48</w:t>
            </w:r>
            <w:r>
              <w:rPr>
                <w:color w:val="000000"/>
                <w:sz w:val="24"/>
              </w:rPr>
              <w:t>′</w:t>
            </w:r>
            <w:r>
              <w:rPr>
                <w:rFonts w:hint="eastAsia"/>
                <w:color w:val="000000"/>
                <w:sz w:val="24"/>
              </w:rPr>
              <w:t>54</w:t>
            </w:r>
            <w:r>
              <w:rPr>
                <w:color w:val="000000"/>
                <w:sz w:val="24"/>
              </w:rPr>
              <w:t>″</w:t>
            </w:r>
          </w:p>
          <w:p>
            <w:pPr>
              <w:adjustRightInd w:val="0"/>
              <w:jc w:val="center"/>
              <w:rPr>
                <w:sz w:val="24"/>
              </w:rPr>
            </w:pPr>
            <w:r>
              <w:rPr>
                <w:rFonts w:hint="eastAsia"/>
                <w:color w:val="000000"/>
                <w:sz w:val="24"/>
              </w:rPr>
              <w:t>小李庄桥2</w:t>
            </w:r>
          </w:p>
        </w:tc>
        <w:tc>
          <w:tcPr>
            <w:tcW w:w="4808" w:type="dxa"/>
          </w:tcPr>
          <w:p>
            <w:pPr>
              <w:adjustRightInd w:val="0"/>
              <w:rPr>
                <w:rFonts w:eastAsia="仿宋"/>
                <w:sz w:val="24"/>
              </w:rPr>
            </w:pPr>
            <w:r>
              <w:rPr>
                <w:rFonts w:eastAsia="仿宋"/>
                <w:sz w:val="24"/>
              </w:rPr>
              <w:drawing>
                <wp:inline distT="0" distB="0" distL="0" distR="0">
                  <wp:extent cx="2913380" cy="2647950"/>
                  <wp:effectExtent l="0" t="0" r="1270" b="0"/>
                  <wp:docPr id="38" name="图片 38" descr="C:\Users\Administrator\Desktop\大运河调研\第二次调研\韩王庄桥\2a1e7c87414a5f13a9efc5d193ae4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Administrator\Desktop\大运河调研\第二次调研\韩王庄桥\2a1e7c87414a5f13a9efc5d193ae4782.jpg"/>
                          <pic:cNvPicPr preferRelativeResize="0">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2916000" cy="2650202"/>
                          </a:xfrm>
                          <a:prstGeom prst="rect">
                            <a:avLst/>
                          </a:prstGeom>
                          <a:noFill/>
                          <a:ln>
                            <a:noFill/>
                          </a:ln>
                          <a:effectLst>
                            <a:softEdge rad="25400"/>
                          </a:effectLst>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27" w:hRule="atLeast"/>
        </w:trPr>
        <w:tc>
          <w:tcPr>
            <w:tcW w:w="531" w:type="dxa"/>
            <w:vAlign w:val="center"/>
          </w:tcPr>
          <w:p>
            <w:pPr>
              <w:adjustRightInd w:val="0"/>
              <w:jc w:val="center"/>
              <w:rPr>
                <w:sz w:val="24"/>
              </w:rPr>
            </w:pPr>
            <w:r>
              <w:rPr>
                <w:rFonts w:hint="eastAsia"/>
                <w:sz w:val="24"/>
              </w:rPr>
              <w:t>5</w:t>
            </w:r>
          </w:p>
        </w:tc>
        <w:tc>
          <w:tcPr>
            <w:tcW w:w="1562" w:type="dxa"/>
            <w:vAlign w:val="center"/>
          </w:tcPr>
          <w:p>
            <w:pPr>
              <w:adjustRightInd w:val="0"/>
              <w:jc w:val="center"/>
              <w:rPr>
                <w:sz w:val="24"/>
              </w:rPr>
            </w:pPr>
            <w:r>
              <w:rPr>
                <w:rFonts w:hint="eastAsia"/>
                <w:sz w:val="24"/>
              </w:rPr>
              <w:t>该河段存在农村污水直排现象</w:t>
            </w:r>
          </w:p>
        </w:tc>
        <w:tc>
          <w:tcPr>
            <w:tcW w:w="1627" w:type="dxa"/>
            <w:vAlign w:val="center"/>
          </w:tcPr>
          <w:p>
            <w:pPr>
              <w:adjustRightInd w:val="0"/>
              <w:jc w:val="center"/>
              <w:rPr>
                <w:sz w:val="24"/>
              </w:rPr>
            </w:pPr>
            <w:r>
              <w:rPr>
                <w:sz w:val="24"/>
              </w:rPr>
              <w:t>N：</w:t>
            </w:r>
            <w:r>
              <w:rPr>
                <w:rFonts w:hint="eastAsia"/>
                <w:color w:val="000000"/>
                <w:sz w:val="24"/>
              </w:rPr>
              <w:t>33</w:t>
            </w:r>
            <w:r>
              <w:rPr>
                <w:color w:val="000000"/>
                <w:sz w:val="24"/>
              </w:rPr>
              <w:t>°</w:t>
            </w:r>
            <w:r>
              <w:rPr>
                <w:rFonts w:hint="eastAsia"/>
                <w:color w:val="000000"/>
                <w:sz w:val="24"/>
              </w:rPr>
              <w:t>28</w:t>
            </w:r>
            <w:r>
              <w:rPr>
                <w:color w:val="000000"/>
                <w:sz w:val="24"/>
              </w:rPr>
              <w:t>′</w:t>
            </w:r>
            <w:r>
              <w:rPr>
                <w:rFonts w:hint="eastAsia"/>
                <w:color w:val="000000"/>
                <w:sz w:val="24"/>
              </w:rPr>
              <w:t>20</w:t>
            </w:r>
            <w:r>
              <w:rPr>
                <w:color w:val="000000"/>
                <w:sz w:val="24"/>
              </w:rPr>
              <w:t>″</w:t>
            </w:r>
          </w:p>
          <w:p>
            <w:pPr>
              <w:adjustRightInd w:val="0"/>
              <w:jc w:val="center"/>
              <w:rPr>
                <w:color w:val="000000"/>
                <w:sz w:val="24"/>
              </w:rPr>
            </w:pPr>
            <w:r>
              <w:rPr>
                <w:sz w:val="24"/>
              </w:rPr>
              <w:t>E：</w:t>
            </w:r>
            <w:r>
              <w:rPr>
                <w:rFonts w:hint="eastAsia"/>
                <w:color w:val="000000"/>
                <w:sz w:val="24"/>
              </w:rPr>
              <w:t>117</w:t>
            </w:r>
            <w:r>
              <w:rPr>
                <w:color w:val="000000"/>
                <w:sz w:val="24"/>
              </w:rPr>
              <w:t>°</w:t>
            </w:r>
            <w:r>
              <w:rPr>
                <w:rFonts w:hint="eastAsia"/>
                <w:color w:val="000000"/>
                <w:sz w:val="24"/>
              </w:rPr>
              <w:t>51</w:t>
            </w:r>
            <w:r>
              <w:rPr>
                <w:color w:val="000000"/>
                <w:sz w:val="24"/>
              </w:rPr>
              <w:t>′</w:t>
            </w:r>
            <w:r>
              <w:rPr>
                <w:rFonts w:hint="eastAsia"/>
                <w:color w:val="000000"/>
                <w:sz w:val="24"/>
              </w:rPr>
              <w:t>32</w:t>
            </w:r>
            <w:r>
              <w:rPr>
                <w:color w:val="000000"/>
                <w:sz w:val="24"/>
              </w:rPr>
              <w:t>″</w:t>
            </w:r>
          </w:p>
          <w:p>
            <w:pPr>
              <w:adjustRightInd w:val="0"/>
              <w:jc w:val="center"/>
              <w:rPr>
                <w:sz w:val="24"/>
              </w:rPr>
            </w:pPr>
            <w:r>
              <w:rPr>
                <w:rFonts w:hint="eastAsia"/>
                <w:color w:val="000000"/>
                <w:sz w:val="24"/>
              </w:rPr>
              <w:t>运河首府路桥</w:t>
            </w:r>
          </w:p>
        </w:tc>
        <w:tc>
          <w:tcPr>
            <w:tcW w:w="4808" w:type="dxa"/>
          </w:tcPr>
          <w:p>
            <w:pPr>
              <w:adjustRightInd w:val="0"/>
              <w:rPr>
                <w:rFonts w:eastAsia="仿宋"/>
                <w:sz w:val="24"/>
              </w:rPr>
            </w:pPr>
            <w:r>
              <w:drawing>
                <wp:inline distT="0" distB="0" distL="0" distR="0">
                  <wp:extent cx="2914650" cy="2828925"/>
                  <wp:effectExtent l="0" t="0" r="0" b="9525"/>
                  <wp:docPr id="41" name="图片 41" descr="C:\Users\Administrator\Documents\Tencent Files\1452883048\Image\C2C\C590059C99910CEE9EFC9238D0FD74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Administrator\Documents\Tencent Files\1452883048\Image\C2C\C590059C99910CEE9EFC9238D0FD74DA.jpg"/>
                          <pic:cNvPicPr preferRelativeResize="0">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2916000" cy="2830235"/>
                          </a:xfrm>
                          <a:prstGeom prst="rect">
                            <a:avLst/>
                          </a:prstGeom>
                          <a:noFill/>
                          <a:ln>
                            <a:noFill/>
                          </a:ln>
                        </pic:spPr>
                      </pic:pic>
                    </a:graphicData>
                  </a:graphic>
                </wp:inline>
              </w:drawing>
            </w:r>
          </w:p>
        </w:tc>
      </w:tr>
    </w:tbl>
    <w:p>
      <w:pPr>
        <w:pStyle w:val="6"/>
        <w:spacing w:before="62" w:after="62"/>
        <w:rPr>
          <w:rFonts w:ascii="Times New Roman" w:hAnsi="Times New Roman"/>
        </w:rPr>
      </w:pPr>
      <w:r>
        <w:rPr>
          <w:rFonts w:hint="eastAsia" w:ascii="Times New Roman" w:hAnsi="Times New Roman"/>
        </w:rPr>
        <w:t xml:space="preserve">3.2.2.2 </w:t>
      </w:r>
      <w:r>
        <w:rPr>
          <w:rFonts w:hint="eastAsia" w:ascii="宋体" w:hAnsi="宋体" w:eastAsia="宋体"/>
        </w:rPr>
        <w:t>成因分析</w:t>
      </w:r>
    </w:p>
    <w:p>
      <w:pPr>
        <w:spacing w:line="360" w:lineRule="auto"/>
        <w:ind w:firstLine="560" w:firstLineChars="200"/>
        <w:rPr>
          <w:rFonts w:eastAsiaTheme="minorEastAsia"/>
          <w:sz w:val="28"/>
          <w:szCs w:val="28"/>
        </w:rPr>
      </w:pPr>
      <w:r>
        <w:rPr>
          <w:rFonts w:hint="eastAsia" w:eastAsiaTheme="minorEastAsia"/>
          <w:sz w:val="28"/>
          <w:szCs w:val="28"/>
        </w:rPr>
        <w:t>大运河泗县段农业用水区内耕地率高，旱地面积为111.43万亩，水田面积为3.9万亩，水浇地面积为3.35万亩，化肥投入量大，2019年化肥使用量达59119吨，大运河泗县段化肥亩均用量为49.8公斤，高于全市化肥亩均用量的34.8公斤，化肥利用率、绿色防控水平有待提升。此外，县域内尚存有少量散养户，养殖废水未经处理直接外派到外环境，还存在部分岸线被侵占用于农作物种植现象，影响了区域内的水环境质量。</w:t>
      </w:r>
    </w:p>
    <w:p>
      <w:pPr>
        <w:spacing w:line="360" w:lineRule="auto"/>
        <w:ind w:firstLine="560" w:firstLineChars="200"/>
        <w:rPr>
          <w:rFonts w:eastAsiaTheme="minorEastAsia"/>
          <w:sz w:val="28"/>
          <w:szCs w:val="28"/>
        </w:rPr>
      </w:pPr>
      <w:r>
        <w:rPr>
          <w:rFonts w:hint="eastAsia" w:eastAsiaTheme="minorEastAsia"/>
          <w:sz w:val="28"/>
          <w:szCs w:val="28"/>
        </w:rPr>
        <w:t>农村基础设施建设滞后，人居水环境形势严峻。农村生活污水、垃圾收集处理缺少专项规划，建设管理不统一，处理模式单一。农村生活污水多数未经处理，农村生活垃圾集中处理率低，垃圾分类减量和资源回收利用不足；部分乡镇污水处理厂运行负荷率不高，大运河泗县段乡镇污水处理厂基本信息如表3-4所示。</w:t>
      </w:r>
    </w:p>
    <w:p>
      <w:pPr>
        <w:spacing w:line="360" w:lineRule="auto"/>
        <w:jc w:val="center"/>
        <w:rPr>
          <w:b/>
          <w:bCs/>
          <w:sz w:val="24"/>
        </w:rPr>
      </w:pPr>
      <w:r>
        <w:rPr>
          <w:b/>
          <w:bCs/>
          <w:sz w:val="24"/>
        </w:rPr>
        <w:t>表</w:t>
      </w:r>
      <w:r>
        <w:rPr>
          <w:rFonts w:hint="eastAsia"/>
          <w:b/>
          <w:bCs/>
          <w:sz w:val="24"/>
        </w:rPr>
        <w:t>3-4</w:t>
      </w:r>
      <w:r>
        <w:rPr>
          <w:b/>
          <w:bCs/>
          <w:sz w:val="24"/>
        </w:rPr>
        <w:t xml:space="preserve">  </w:t>
      </w:r>
      <w:r>
        <w:rPr>
          <w:rFonts w:hint="eastAsia"/>
          <w:b/>
          <w:bCs/>
          <w:sz w:val="24"/>
        </w:rPr>
        <w:t>乡镇生活污水处理厂信息</w:t>
      </w:r>
      <w:r>
        <w:rPr>
          <w:b/>
          <w:bCs/>
          <w:sz w:val="24"/>
        </w:rPr>
        <w:t>一览表</w:t>
      </w:r>
    </w:p>
    <w:tbl>
      <w:tblPr>
        <w:tblStyle w:val="28"/>
        <w:tblW w:w="8528" w:type="dxa"/>
        <w:tblInd w:w="0" w:type="dxa"/>
        <w:tblLayout w:type="fixed"/>
        <w:tblCellMar>
          <w:top w:w="0" w:type="dxa"/>
          <w:left w:w="108" w:type="dxa"/>
          <w:bottom w:w="0" w:type="dxa"/>
          <w:right w:w="108" w:type="dxa"/>
        </w:tblCellMar>
      </w:tblPr>
      <w:tblGrid>
        <w:gridCol w:w="457"/>
        <w:gridCol w:w="569"/>
        <w:gridCol w:w="828"/>
        <w:gridCol w:w="978"/>
        <w:gridCol w:w="938"/>
        <w:gridCol w:w="944"/>
        <w:gridCol w:w="991"/>
        <w:gridCol w:w="1056"/>
        <w:gridCol w:w="939"/>
        <w:gridCol w:w="828"/>
      </w:tblGrid>
      <w:tr>
        <w:tblPrEx>
          <w:tblLayout w:type="fixed"/>
          <w:tblCellMar>
            <w:top w:w="0" w:type="dxa"/>
            <w:left w:w="108" w:type="dxa"/>
            <w:bottom w:w="0" w:type="dxa"/>
            <w:right w:w="108" w:type="dxa"/>
          </w:tblCellMar>
        </w:tblPrEx>
        <w:trPr>
          <w:trHeight w:val="312" w:hRule="atLeast"/>
        </w:trPr>
        <w:tc>
          <w:tcPr>
            <w:tcW w:w="45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序号</w:t>
            </w:r>
          </w:p>
        </w:tc>
        <w:tc>
          <w:tcPr>
            <w:tcW w:w="569"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县区</w:t>
            </w:r>
          </w:p>
        </w:tc>
        <w:tc>
          <w:tcPr>
            <w:tcW w:w="828" w:type="dxa"/>
            <w:vMerge w:val="restart"/>
            <w:tcBorders>
              <w:top w:val="single" w:color="auto" w:sz="4" w:space="0"/>
              <w:left w:val="single" w:color="auto" w:sz="4" w:space="0"/>
              <w:bottom w:val="single" w:color="000000"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乡镇</w:t>
            </w:r>
          </w:p>
        </w:tc>
        <w:tc>
          <w:tcPr>
            <w:tcW w:w="97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处理规模</w:t>
            </w:r>
          </w:p>
          <w:p>
            <w:pPr>
              <w:widowControl/>
              <w:jc w:val="center"/>
              <w:rPr>
                <w:b/>
                <w:bCs/>
                <w:color w:val="000000"/>
                <w:kern w:val="0"/>
                <w:sz w:val="24"/>
              </w:rPr>
            </w:pPr>
            <w:r>
              <w:rPr>
                <w:rFonts w:hint="eastAsia"/>
                <w:b/>
                <w:bCs/>
                <w:color w:val="000000"/>
                <w:kern w:val="0"/>
                <w:sz w:val="24"/>
              </w:rPr>
              <w:t>（</w:t>
            </w:r>
            <w:r>
              <w:rPr>
                <w:b/>
                <w:bCs/>
                <w:color w:val="000000"/>
                <w:kern w:val="0"/>
                <w:sz w:val="24"/>
              </w:rPr>
              <w:t>t/d</w:t>
            </w:r>
            <w:r>
              <w:rPr>
                <w:rFonts w:hint="eastAsia"/>
                <w:b/>
                <w:bCs/>
                <w:color w:val="000000"/>
                <w:kern w:val="0"/>
                <w:sz w:val="24"/>
              </w:rPr>
              <w:t>）</w:t>
            </w:r>
          </w:p>
        </w:tc>
        <w:tc>
          <w:tcPr>
            <w:tcW w:w="93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运行负荷率</w:t>
            </w:r>
          </w:p>
          <w:p>
            <w:pPr>
              <w:widowControl/>
              <w:jc w:val="center"/>
              <w:rPr>
                <w:b/>
                <w:bCs/>
                <w:color w:val="000000"/>
                <w:kern w:val="0"/>
                <w:sz w:val="24"/>
              </w:rPr>
            </w:pPr>
            <w:r>
              <w:rPr>
                <w:rFonts w:hint="eastAsia"/>
                <w:b/>
                <w:bCs/>
                <w:color w:val="000000"/>
                <w:kern w:val="0"/>
                <w:sz w:val="24"/>
              </w:rPr>
              <w:t>（%）</w:t>
            </w:r>
          </w:p>
        </w:tc>
        <w:tc>
          <w:tcPr>
            <w:tcW w:w="94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已完成主管网(km)</w:t>
            </w:r>
          </w:p>
        </w:tc>
        <w:tc>
          <w:tcPr>
            <w:tcW w:w="99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已完成支管网(km)</w:t>
            </w:r>
          </w:p>
        </w:tc>
        <w:tc>
          <w:tcPr>
            <w:tcW w:w="105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已完成接户井</w:t>
            </w:r>
          </w:p>
          <w:p>
            <w:pPr>
              <w:widowControl/>
              <w:jc w:val="center"/>
              <w:rPr>
                <w:b/>
                <w:bCs/>
                <w:color w:val="000000"/>
                <w:kern w:val="0"/>
                <w:sz w:val="24"/>
              </w:rPr>
            </w:pPr>
            <w:r>
              <w:rPr>
                <w:b/>
                <w:bCs/>
                <w:color w:val="000000"/>
                <w:kern w:val="0"/>
                <w:sz w:val="24"/>
              </w:rPr>
              <w:t>（个）</w:t>
            </w:r>
          </w:p>
        </w:tc>
        <w:tc>
          <w:tcPr>
            <w:tcW w:w="939"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已接入户数（户）</w:t>
            </w:r>
          </w:p>
        </w:tc>
        <w:tc>
          <w:tcPr>
            <w:tcW w:w="82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管网覆盖率(%)</w:t>
            </w:r>
          </w:p>
        </w:tc>
      </w:tr>
      <w:tr>
        <w:tblPrEx>
          <w:tblLayout w:type="fixed"/>
          <w:tblCellMar>
            <w:top w:w="0" w:type="dxa"/>
            <w:left w:w="108" w:type="dxa"/>
            <w:bottom w:w="0" w:type="dxa"/>
            <w:right w:w="108" w:type="dxa"/>
          </w:tblCellMar>
        </w:tblPrEx>
        <w:trPr>
          <w:trHeight w:val="312" w:hRule="atLeast"/>
        </w:trPr>
        <w:tc>
          <w:tcPr>
            <w:tcW w:w="45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569" w:type="dxa"/>
            <w:vMerge w:val="continue"/>
            <w:tcBorders>
              <w:top w:val="single" w:color="auto" w:sz="4" w:space="0"/>
              <w:left w:val="single" w:color="auto" w:sz="4" w:space="0"/>
              <w:bottom w:val="single" w:color="000000" w:sz="4" w:space="0"/>
              <w:right w:val="single" w:color="auto" w:sz="4" w:space="0"/>
            </w:tcBorders>
            <w:vAlign w:val="center"/>
          </w:tcPr>
          <w:p>
            <w:pPr>
              <w:widowControl/>
              <w:jc w:val="left"/>
              <w:rPr>
                <w:rFonts w:ascii="宋体" w:hAnsi="宋体" w:cs="宋体"/>
                <w:b/>
                <w:bCs/>
                <w:color w:val="000000"/>
                <w:kern w:val="0"/>
                <w:sz w:val="24"/>
              </w:rPr>
            </w:pPr>
          </w:p>
        </w:tc>
        <w:tc>
          <w:tcPr>
            <w:tcW w:w="828" w:type="dxa"/>
            <w:vMerge w:val="continue"/>
            <w:tcBorders>
              <w:top w:val="single" w:color="auto" w:sz="4" w:space="0"/>
              <w:left w:val="single" w:color="auto" w:sz="4" w:space="0"/>
              <w:bottom w:val="single" w:color="000000" w:sz="4" w:space="0"/>
              <w:right w:val="single" w:color="auto" w:sz="4" w:space="0"/>
            </w:tcBorders>
            <w:vAlign w:val="center"/>
          </w:tcPr>
          <w:p>
            <w:pPr>
              <w:widowControl/>
              <w:jc w:val="left"/>
              <w:rPr>
                <w:rFonts w:ascii="宋体" w:hAnsi="宋体" w:cs="宋体"/>
                <w:b/>
                <w:bCs/>
                <w:color w:val="000000"/>
                <w:kern w:val="0"/>
                <w:sz w:val="24"/>
              </w:rPr>
            </w:pPr>
          </w:p>
        </w:tc>
        <w:tc>
          <w:tcPr>
            <w:tcW w:w="97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93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94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991"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1056"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939"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82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r>
      <w:tr>
        <w:tblPrEx>
          <w:tblLayout w:type="fixed"/>
          <w:tblCellMar>
            <w:top w:w="0" w:type="dxa"/>
            <w:left w:w="108" w:type="dxa"/>
            <w:bottom w:w="0" w:type="dxa"/>
            <w:right w:w="108" w:type="dxa"/>
          </w:tblCellMar>
        </w:tblPrEx>
        <w:trPr>
          <w:trHeight w:val="632" w:hRule="atLeast"/>
        </w:trPr>
        <w:tc>
          <w:tcPr>
            <w:tcW w:w="457"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569" w:type="dxa"/>
            <w:vMerge w:val="continue"/>
            <w:tcBorders>
              <w:top w:val="single" w:color="auto" w:sz="4" w:space="0"/>
              <w:left w:val="single" w:color="auto" w:sz="4" w:space="0"/>
              <w:bottom w:val="single" w:color="000000" w:sz="4" w:space="0"/>
              <w:right w:val="single" w:color="auto" w:sz="4" w:space="0"/>
            </w:tcBorders>
            <w:vAlign w:val="center"/>
          </w:tcPr>
          <w:p>
            <w:pPr>
              <w:widowControl/>
              <w:jc w:val="left"/>
              <w:rPr>
                <w:rFonts w:ascii="宋体" w:hAnsi="宋体" w:cs="宋体"/>
                <w:b/>
                <w:bCs/>
                <w:color w:val="000000"/>
                <w:kern w:val="0"/>
                <w:sz w:val="24"/>
              </w:rPr>
            </w:pPr>
          </w:p>
        </w:tc>
        <w:tc>
          <w:tcPr>
            <w:tcW w:w="828" w:type="dxa"/>
            <w:vMerge w:val="continue"/>
            <w:tcBorders>
              <w:top w:val="single" w:color="auto" w:sz="4" w:space="0"/>
              <w:left w:val="single" w:color="auto" w:sz="4" w:space="0"/>
              <w:bottom w:val="single" w:color="000000" w:sz="4" w:space="0"/>
              <w:right w:val="single" w:color="auto" w:sz="4" w:space="0"/>
            </w:tcBorders>
            <w:vAlign w:val="center"/>
          </w:tcPr>
          <w:p>
            <w:pPr>
              <w:widowControl/>
              <w:jc w:val="left"/>
              <w:rPr>
                <w:rFonts w:ascii="宋体" w:hAnsi="宋体" w:cs="宋体"/>
                <w:b/>
                <w:bCs/>
                <w:color w:val="000000"/>
                <w:kern w:val="0"/>
                <w:sz w:val="24"/>
              </w:rPr>
            </w:pPr>
          </w:p>
        </w:tc>
        <w:tc>
          <w:tcPr>
            <w:tcW w:w="97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93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94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991"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1056"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939"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c>
          <w:tcPr>
            <w:tcW w:w="828"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宋体" w:hAnsi="宋体" w:cs="宋体"/>
                <w:b/>
                <w:bCs/>
                <w:color w:val="000000"/>
                <w:kern w:val="0"/>
                <w:sz w:val="24"/>
              </w:rPr>
            </w:pPr>
          </w:p>
        </w:tc>
      </w:tr>
      <w:tr>
        <w:tblPrEx>
          <w:tblLayout w:type="fixed"/>
          <w:tblCellMar>
            <w:top w:w="0" w:type="dxa"/>
            <w:left w:w="108" w:type="dxa"/>
            <w:bottom w:w="0" w:type="dxa"/>
            <w:right w:w="108" w:type="dxa"/>
          </w:tblCellMar>
        </w:tblPrEx>
        <w:trPr>
          <w:trHeight w:val="800" w:hRule="atLeast"/>
        </w:trPr>
        <w:tc>
          <w:tcPr>
            <w:tcW w:w="457"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1</w:t>
            </w:r>
          </w:p>
        </w:tc>
        <w:tc>
          <w:tcPr>
            <w:tcW w:w="569"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泗县</w:t>
            </w:r>
          </w:p>
        </w:tc>
        <w:tc>
          <w:tcPr>
            <w:tcW w:w="828"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草庙镇</w:t>
            </w:r>
          </w:p>
        </w:tc>
        <w:tc>
          <w:tcPr>
            <w:tcW w:w="978"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500</w:t>
            </w:r>
          </w:p>
        </w:tc>
        <w:tc>
          <w:tcPr>
            <w:tcW w:w="938"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90</w:t>
            </w:r>
          </w:p>
        </w:tc>
        <w:tc>
          <w:tcPr>
            <w:tcW w:w="944"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4.071</w:t>
            </w:r>
          </w:p>
        </w:tc>
        <w:tc>
          <w:tcPr>
            <w:tcW w:w="991"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0.735</w:t>
            </w:r>
          </w:p>
        </w:tc>
        <w:tc>
          <w:tcPr>
            <w:tcW w:w="1056"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190</w:t>
            </w:r>
          </w:p>
        </w:tc>
        <w:tc>
          <w:tcPr>
            <w:tcW w:w="939"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1163</w:t>
            </w:r>
          </w:p>
        </w:tc>
        <w:tc>
          <w:tcPr>
            <w:tcW w:w="828"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86</w:t>
            </w:r>
          </w:p>
        </w:tc>
      </w:tr>
      <w:tr>
        <w:tblPrEx>
          <w:tblLayout w:type="fixed"/>
          <w:tblCellMar>
            <w:top w:w="0" w:type="dxa"/>
            <w:left w:w="108" w:type="dxa"/>
            <w:bottom w:w="0" w:type="dxa"/>
            <w:right w:w="108" w:type="dxa"/>
          </w:tblCellMar>
        </w:tblPrEx>
        <w:trPr>
          <w:trHeight w:val="840" w:hRule="atLeast"/>
        </w:trPr>
        <w:tc>
          <w:tcPr>
            <w:tcW w:w="457"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2</w:t>
            </w:r>
          </w:p>
        </w:tc>
        <w:tc>
          <w:tcPr>
            <w:tcW w:w="569"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泗县</w:t>
            </w:r>
          </w:p>
        </w:tc>
        <w:tc>
          <w:tcPr>
            <w:tcW w:w="828"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屏山镇</w:t>
            </w:r>
          </w:p>
        </w:tc>
        <w:tc>
          <w:tcPr>
            <w:tcW w:w="978"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color w:val="000000"/>
                <w:kern w:val="0"/>
                <w:sz w:val="24"/>
              </w:rPr>
              <w:t>7</w:t>
            </w:r>
            <w:r>
              <w:rPr>
                <w:color w:val="000000"/>
                <w:kern w:val="0"/>
                <w:sz w:val="24"/>
              </w:rPr>
              <w:t>00</w:t>
            </w:r>
          </w:p>
        </w:tc>
        <w:tc>
          <w:tcPr>
            <w:tcW w:w="938"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80</w:t>
            </w:r>
          </w:p>
        </w:tc>
        <w:tc>
          <w:tcPr>
            <w:tcW w:w="944"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10.771</w:t>
            </w:r>
          </w:p>
        </w:tc>
        <w:tc>
          <w:tcPr>
            <w:tcW w:w="991"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4.758</w:t>
            </w:r>
          </w:p>
        </w:tc>
        <w:tc>
          <w:tcPr>
            <w:tcW w:w="1056"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406</w:t>
            </w:r>
          </w:p>
        </w:tc>
        <w:tc>
          <w:tcPr>
            <w:tcW w:w="939"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2223</w:t>
            </w:r>
          </w:p>
        </w:tc>
        <w:tc>
          <w:tcPr>
            <w:tcW w:w="828"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92</w:t>
            </w:r>
          </w:p>
        </w:tc>
      </w:tr>
      <w:tr>
        <w:tblPrEx>
          <w:tblLayout w:type="fixed"/>
          <w:tblCellMar>
            <w:top w:w="0" w:type="dxa"/>
            <w:left w:w="108" w:type="dxa"/>
            <w:bottom w:w="0" w:type="dxa"/>
            <w:right w:w="108" w:type="dxa"/>
          </w:tblCellMar>
        </w:tblPrEx>
        <w:trPr>
          <w:trHeight w:val="824" w:hRule="atLeast"/>
        </w:trPr>
        <w:tc>
          <w:tcPr>
            <w:tcW w:w="457"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3</w:t>
            </w:r>
          </w:p>
        </w:tc>
        <w:tc>
          <w:tcPr>
            <w:tcW w:w="569"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泗县</w:t>
            </w:r>
          </w:p>
        </w:tc>
        <w:tc>
          <w:tcPr>
            <w:tcW w:w="828"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黑塔镇</w:t>
            </w:r>
          </w:p>
        </w:tc>
        <w:tc>
          <w:tcPr>
            <w:tcW w:w="978"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500</w:t>
            </w:r>
          </w:p>
        </w:tc>
        <w:tc>
          <w:tcPr>
            <w:tcW w:w="938"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75</w:t>
            </w:r>
          </w:p>
        </w:tc>
        <w:tc>
          <w:tcPr>
            <w:tcW w:w="944"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7.287</w:t>
            </w:r>
          </w:p>
        </w:tc>
        <w:tc>
          <w:tcPr>
            <w:tcW w:w="991"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2.749</w:t>
            </w:r>
          </w:p>
        </w:tc>
        <w:tc>
          <w:tcPr>
            <w:tcW w:w="1056"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363</w:t>
            </w:r>
          </w:p>
        </w:tc>
        <w:tc>
          <w:tcPr>
            <w:tcW w:w="939"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1562</w:t>
            </w:r>
          </w:p>
        </w:tc>
        <w:tc>
          <w:tcPr>
            <w:tcW w:w="828"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87</w:t>
            </w:r>
          </w:p>
        </w:tc>
      </w:tr>
      <w:tr>
        <w:tblPrEx>
          <w:tblLayout w:type="fixed"/>
          <w:tblCellMar>
            <w:top w:w="0" w:type="dxa"/>
            <w:left w:w="108" w:type="dxa"/>
            <w:bottom w:w="0" w:type="dxa"/>
            <w:right w:w="108" w:type="dxa"/>
          </w:tblCellMar>
        </w:tblPrEx>
        <w:trPr>
          <w:trHeight w:val="892" w:hRule="atLeast"/>
        </w:trPr>
        <w:tc>
          <w:tcPr>
            <w:tcW w:w="457"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4</w:t>
            </w:r>
          </w:p>
        </w:tc>
        <w:tc>
          <w:tcPr>
            <w:tcW w:w="569"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泗县</w:t>
            </w:r>
          </w:p>
        </w:tc>
        <w:tc>
          <w:tcPr>
            <w:tcW w:w="828"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长沟镇</w:t>
            </w:r>
          </w:p>
        </w:tc>
        <w:tc>
          <w:tcPr>
            <w:tcW w:w="978"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500</w:t>
            </w:r>
          </w:p>
        </w:tc>
        <w:tc>
          <w:tcPr>
            <w:tcW w:w="938"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90</w:t>
            </w:r>
          </w:p>
        </w:tc>
        <w:tc>
          <w:tcPr>
            <w:tcW w:w="944"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12.86</w:t>
            </w:r>
          </w:p>
        </w:tc>
        <w:tc>
          <w:tcPr>
            <w:tcW w:w="991"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5.148</w:t>
            </w:r>
          </w:p>
        </w:tc>
        <w:tc>
          <w:tcPr>
            <w:tcW w:w="1056"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379</w:t>
            </w:r>
          </w:p>
        </w:tc>
        <w:tc>
          <w:tcPr>
            <w:tcW w:w="939"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2062</w:t>
            </w:r>
          </w:p>
        </w:tc>
        <w:tc>
          <w:tcPr>
            <w:tcW w:w="828"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88</w:t>
            </w:r>
          </w:p>
        </w:tc>
      </w:tr>
    </w:tbl>
    <w:p>
      <w:pPr>
        <w:pStyle w:val="25"/>
        <w:spacing w:before="0" w:beforeLines="0" w:after="0" w:afterLines="0"/>
        <w:ind w:left="0" w:leftChars="0"/>
        <w:outlineLvl w:val="9"/>
        <w:rPr>
          <w:sz w:val="21"/>
        </w:rPr>
      </w:pPr>
    </w:p>
    <w:p>
      <w:pPr>
        <w:pStyle w:val="25"/>
        <w:spacing w:before="156" w:after="156"/>
        <w:ind w:left="0" w:leftChars="0"/>
      </w:pPr>
      <w:bookmarkStart w:id="125" w:name="_Toc84536536"/>
      <w:r>
        <w:rPr>
          <w:rFonts w:hint="eastAsia"/>
        </w:rPr>
        <w:t>3.2.3 河道内源</w:t>
      </w:r>
      <w:bookmarkEnd w:id="125"/>
    </w:p>
    <w:p>
      <w:pPr>
        <w:spacing w:line="360" w:lineRule="auto"/>
        <w:ind w:firstLine="560" w:firstLineChars="200"/>
        <w:rPr>
          <w:rFonts w:eastAsiaTheme="minorEastAsia"/>
          <w:sz w:val="28"/>
          <w:szCs w:val="28"/>
        </w:rPr>
      </w:pPr>
      <w:r>
        <w:rPr>
          <w:rFonts w:eastAsiaTheme="minorEastAsia"/>
          <w:sz w:val="28"/>
          <w:szCs w:val="28"/>
        </w:rPr>
        <w:t>底泥污染是城市河流污染的重要内容之一，也是世界范围内的一个突出环境问题。作为河流生态系统的重要组成部分，底泥不仅是河流营养物质循环的中心环节，而且也是营养物质的主要聚集库。通过大气沉降、废水排放、雨水淋溶与冲刷等各种方式，大量的污染物进入河流水体，其中一部分沉积到底泥中并逐渐富集，使底泥受到污染。从国外来看，莱茵河流域、美国的大湖地区等，底泥污染均十分严重。我国城市河流底泥中也积累了大量耗氧性有机污染物、重金属、氮磷和各种优先有机污染物，其含量往往比背景值高出一至几个数量级。作为河流污染物的主要蓄积库，底泥不仅可以直接反映水体的污染历史。而且在一定条件下可向上覆水体释放各种污染物，是影响河流水质的重要二次污染源。且底泥在水体相对静止的河湾区域，淤泥更严重。</w:t>
      </w:r>
    </w:p>
    <w:p>
      <w:pPr>
        <w:spacing w:line="360" w:lineRule="auto"/>
        <w:ind w:firstLine="560" w:firstLineChars="200"/>
        <w:rPr>
          <w:rFonts w:eastAsiaTheme="minorEastAsia"/>
          <w:color w:val="FF0000"/>
          <w:sz w:val="28"/>
          <w:szCs w:val="28"/>
        </w:rPr>
      </w:pPr>
      <w:r>
        <w:rPr>
          <w:rFonts w:eastAsiaTheme="minorEastAsia"/>
          <w:color w:val="000000" w:themeColor="text1"/>
          <w:sz w:val="28"/>
          <w:szCs w:val="28"/>
          <w14:textFill>
            <w14:solidFill>
              <w14:schemeClr w14:val="tx1"/>
            </w14:solidFill>
          </w14:textFill>
        </w:rPr>
        <w:t>根据现场调查，</w:t>
      </w:r>
      <w:r>
        <w:rPr>
          <w:rFonts w:hint="eastAsia" w:eastAsiaTheme="minorEastAsia"/>
          <w:color w:val="000000" w:themeColor="text1"/>
          <w:sz w:val="28"/>
          <w:szCs w:val="28"/>
          <w14:textFill>
            <w14:solidFill>
              <w14:schemeClr w14:val="tx1"/>
            </w14:solidFill>
          </w14:textFill>
        </w:rPr>
        <w:t>大运河泗县段</w:t>
      </w:r>
      <w:r>
        <w:rPr>
          <w:rFonts w:eastAsiaTheme="minorEastAsia"/>
          <w:color w:val="000000" w:themeColor="text1"/>
          <w:sz w:val="28"/>
          <w:szCs w:val="28"/>
          <w14:textFill>
            <w14:solidFill>
              <w14:schemeClr w14:val="tx1"/>
            </w14:solidFill>
          </w14:textFill>
        </w:rPr>
        <w:t>之间有部分河段存在淤泥。根据相关资料及现场调研的结果，</w:t>
      </w:r>
      <w:r>
        <w:rPr>
          <w:rFonts w:hint="eastAsia" w:eastAsiaTheme="minorEastAsia"/>
          <w:color w:val="000000" w:themeColor="text1"/>
          <w:sz w:val="28"/>
          <w:szCs w:val="28"/>
          <w14:textFill>
            <w14:solidFill>
              <w14:schemeClr w14:val="tx1"/>
            </w14:solidFill>
          </w14:textFill>
        </w:rPr>
        <w:t>大运河泗县段</w:t>
      </w:r>
      <w:r>
        <w:rPr>
          <w:rFonts w:eastAsiaTheme="minorEastAsia"/>
          <w:color w:val="000000" w:themeColor="text1"/>
          <w:sz w:val="28"/>
          <w:szCs w:val="28"/>
          <w14:textFill>
            <w14:solidFill>
              <w14:schemeClr w14:val="tx1"/>
            </w14:solidFill>
          </w14:textFill>
        </w:rPr>
        <w:t>流域因淤泥产生的污染负荷为</w:t>
      </w:r>
      <w:r>
        <w:rPr>
          <w:rFonts w:hint="eastAsia" w:eastAsiaTheme="minorEastAsia"/>
          <w:color w:val="000000" w:themeColor="text1"/>
          <w:sz w:val="28"/>
          <w:szCs w:val="28"/>
          <w14:textFill>
            <w14:solidFill>
              <w14:schemeClr w14:val="tx1"/>
            </w14:solidFill>
          </w14:textFill>
        </w:rPr>
        <w:t>（</w:t>
      </w:r>
      <w:r>
        <w:rPr>
          <w:rFonts w:eastAsiaTheme="minorEastAsia"/>
          <w:color w:val="000000" w:themeColor="text1"/>
          <w:sz w:val="28"/>
          <w:szCs w:val="28"/>
          <w14:textFill>
            <w14:solidFill>
              <w14:schemeClr w14:val="tx1"/>
            </w14:solidFill>
          </w14:textFill>
        </w:rPr>
        <w:t>按平时泥沙未被扰动来计算</w:t>
      </w:r>
      <w:r>
        <w:rPr>
          <w:rFonts w:hint="eastAsia" w:eastAsiaTheme="minorEastAsia"/>
          <w:color w:val="000000" w:themeColor="text1"/>
          <w:sz w:val="28"/>
          <w:szCs w:val="28"/>
          <w14:textFill>
            <w14:solidFill>
              <w14:schemeClr w14:val="tx1"/>
            </w14:solidFill>
          </w14:textFill>
        </w:rPr>
        <w:t>）</w:t>
      </w:r>
      <w:r>
        <w:rPr>
          <w:rFonts w:eastAsiaTheme="minorEastAsia"/>
          <w:color w:val="000000" w:themeColor="text1"/>
          <w:sz w:val="28"/>
          <w:szCs w:val="28"/>
          <w14:textFill>
            <w14:solidFill>
              <w14:schemeClr w14:val="tx1"/>
            </w14:solidFill>
          </w14:textFill>
        </w:rPr>
        <w:t>： NH</w:t>
      </w:r>
      <w:r>
        <w:rPr>
          <w:rFonts w:eastAsiaTheme="minorEastAsia"/>
          <w:color w:val="000000" w:themeColor="text1"/>
          <w:sz w:val="28"/>
          <w:szCs w:val="28"/>
          <w:vertAlign w:val="subscript"/>
          <w14:textFill>
            <w14:solidFill>
              <w14:schemeClr w14:val="tx1"/>
            </w14:solidFill>
          </w14:textFill>
        </w:rPr>
        <w:t>3</w:t>
      </w:r>
      <w:r>
        <w:rPr>
          <w:rFonts w:eastAsiaTheme="minorEastAsia"/>
          <w:color w:val="000000" w:themeColor="text1"/>
          <w:sz w:val="28"/>
          <w:szCs w:val="28"/>
          <w14:textFill>
            <w14:solidFill>
              <w14:schemeClr w14:val="tx1"/>
            </w14:solidFill>
          </w14:textFill>
        </w:rPr>
        <w:t>-N</w:t>
      </w:r>
      <w:r>
        <w:rPr>
          <w:rFonts w:hint="eastAsia" w:eastAsiaTheme="minorEastAsia"/>
          <w:color w:val="000000" w:themeColor="text1"/>
          <w:sz w:val="28"/>
          <w:szCs w:val="28"/>
          <w14:textFill>
            <w14:solidFill>
              <w14:schemeClr w14:val="tx1"/>
            </w14:solidFill>
          </w14:textFill>
        </w:rPr>
        <w:t>为</w:t>
      </w:r>
      <w:r>
        <w:rPr>
          <w:rFonts w:eastAsiaTheme="minorEastAsia"/>
          <w:color w:val="000000" w:themeColor="text1"/>
          <w:sz w:val="28"/>
          <w:szCs w:val="28"/>
          <w14:textFill>
            <w14:solidFill>
              <w14:schemeClr w14:val="tx1"/>
            </w14:solidFill>
          </w14:textFill>
        </w:rPr>
        <w:t>1.6 t、TP</w:t>
      </w:r>
      <w:r>
        <w:rPr>
          <w:rFonts w:hint="eastAsia" w:eastAsiaTheme="minorEastAsia"/>
          <w:color w:val="000000" w:themeColor="text1"/>
          <w:sz w:val="28"/>
          <w:szCs w:val="28"/>
          <w14:textFill>
            <w14:solidFill>
              <w14:schemeClr w14:val="tx1"/>
            </w14:solidFill>
          </w14:textFill>
        </w:rPr>
        <w:t>为</w:t>
      </w:r>
      <w:r>
        <w:rPr>
          <w:rFonts w:eastAsiaTheme="minorEastAsia"/>
          <w:color w:val="000000" w:themeColor="text1"/>
          <w:sz w:val="28"/>
          <w:szCs w:val="28"/>
          <w14:textFill>
            <w14:solidFill>
              <w14:schemeClr w14:val="tx1"/>
            </w14:solidFill>
          </w14:textFill>
        </w:rPr>
        <w:t>0.4 t。</w:t>
      </w:r>
    </w:p>
    <w:p>
      <w:pPr>
        <w:widowControl/>
        <w:rPr>
          <w:b/>
          <w:color w:val="000000" w:themeColor="text1"/>
          <w:sz w:val="32"/>
          <w:szCs w:val="32"/>
          <w14:textFill>
            <w14:solidFill>
              <w14:schemeClr w14:val="tx1"/>
            </w14:solidFill>
          </w14:textFill>
        </w:rPr>
      </w:pPr>
      <w:r>
        <w:rPr>
          <w:b/>
          <w:color w:val="000000" w:themeColor="text1"/>
          <w:sz w:val="32"/>
          <w:szCs w:val="32"/>
          <w14:textFill>
            <w14:solidFill>
              <w14:schemeClr w14:val="tx1"/>
            </w14:solidFill>
          </w14:textFill>
        </w:rPr>
        <w:br w:type="page"/>
      </w:r>
    </w:p>
    <w:p>
      <w:pPr>
        <w:pStyle w:val="3"/>
        <w:spacing w:before="374" w:beforeLines="120" w:after="374" w:afterLines="120"/>
      </w:pPr>
      <w:bookmarkStart w:id="126" w:name="_Toc84536537"/>
      <w:r>
        <w:rPr>
          <w:rFonts w:hint="eastAsia"/>
        </w:rPr>
        <w:t>4 大运河生态环境保护修复方案</w:t>
      </w:r>
      <w:bookmarkEnd w:id="126"/>
    </w:p>
    <w:p>
      <w:pPr>
        <w:pStyle w:val="4"/>
        <w:spacing w:before="312" w:after="312"/>
        <w:rPr>
          <w:rFonts w:eastAsiaTheme="minorEastAsia"/>
        </w:rPr>
      </w:pPr>
      <w:bookmarkStart w:id="127" w:name="_Toc84536538"/>
      <w:r>
        <w:rPr>
          <w:rFonts w:hint="eastAsia" w:eastAsiaTheme="minorEastAsia"/>
        </w:rPr>
        <w:t>4.1 建设绿色生态廊道</w:t>
      </w:r>
      <w:bookmarkEnd w:id="127"/>
    </w:p>
    <w:p>
      <w:pPr>
        <w:pStyle w:val="25"/>
        <w:spacing w:before="156" w:after="156"/>
        <w:ind w:left="0" w:leftChars="0"/>
      </w:pPr>
      <w:bookmarkStart w:id="128" w:name="_Toc84536539"/>
      <w:r>
        <w:rPr>
          <w:rFonts w:hint="eastAsia"/>
        </w:rPr>
        <w:t>4.1.1 推进滨河生态屏障建设</w:t>
      </w:r>
      <w:bookmarkEnd w:id="128"/>
    </w:p>
    <w:p>
      <w:pPr>
        <w:adjustRightInd w:val="0"/>
        <w:spacing w:line="360" w:lineRule="auto"/>
        <w:ind w:firstLine="562" w:firstLineChars="200"/>
        <w:rPr>
          <w:sz w:val="28"/>
          <w:szCs w:val="28"/>
        </w:rPr>
      </w:pPr>
      <w:r>
        <w:rPr>
          <w:rFonts w:hint="eastAsia"/>
          <w:b/>
          <w:color w:val="000000"/>
          <w:sz w:val="28"/>
          <w:szCs w:val="28"/>
        </w:rPr>
        <w:t>实施泗城镇及近郊区大运河沿岸的防护林带建设。</w:t>
      </w:r>
      <w:r>
        <w:rPr>
          <w:rFonts w:hint="eastAsia"/>
          <w:color w:val="000000"/>
          <w:sz w:val="28"/>
          <w:szCs w:val="28"/>
        </w:rPr>
        <w:t>以生态护岸林和城镇生态绿地等建设模式为主，生态护岸林主要在地形改造、驳岸整理的基础上，营建由乔木、灌木、多年生地被和水生植物组成的植被带﹐沿岸森林修复选择耐水湿、枝条繁茂的植物。依法严禁在河道管理范围内种植阻碍行洪的林木或者高杆作物（护堤林除外）。在城市及乡镇的重要节点，在确保生态功能发挥的基础上，结合慢行道路体系，营造近自然生态效果的城镇生态绿地，增加生态公共服务。</w:t>
      </w:r>
      <w:r>
        <w:rPr>
          <w:rFonts w:ascii="宋体" w:hAnsi="宋体"/>
          <w:sz w:val="28"/>
          <w:szCs w:val="28"/>
        </w:rPr>
        <w:t>方案优先选用</w:t>
      </w:r>
      <w:r>
        <w:rPr>
          <w:rFonts w:hint="eastAsia" w:ascii="宋体" w:hAnsi="宋体"/>
          <w:sz w:val="28"/>
          <w:szCs w:val="28"/>
        </w:rPr>
        <w:t>宿州</w:t>
      </w:r>
      <w:r>
        <w:rPr>
          <w:rFonts w:ascii="宋体" w:hAnsi="宋体"/>
          <w:sz w:val="28"/>
          <w:szCs w:val="28"/>
        </w:rPr>
        <w:t>本地常见且符合规范推荐要求的主要植物，</w:t>
      </w:r>
      <w:r>
        <w:rPr>
          <w:rFonts w:hint="eastAsia" w:ascii="宋体" w:hAnsi="宋体"/>
          <w:color w:val="000000" w:themeColor="text1"/>
          <w:sz w:val="28"/>
          <w:szCs w:val="28"/>
          <w14:textFill>
            <w14:solidFill>
              <w14:schemeClr w14:val="tx1"/>
            </w14:solidFill>
          </w14:textFill>
        </w:rPr>
        <w:t>乔木类以无絮杨、刺槐、榆树、枫杨、南京椴、无患子、苦楝、黄连木、青桐等为主；灌木类以红叶李、樱花、枇杷、梨、桃、石榴、黄栌等为主</w:t>
      </w:r>
      <w:r>
        <w:rPr>
          <w:rFonts w:hint="eastAsia"/>
          <w:color w:val="000000"/>
          <w:sz w:val="28"/>
          <w:szCs w:val="28"/>
        </w:rPr>
        <w:t>，并且</w:t>
      </w:r>
      <w:r>
        <w:rPr>
          <w:sz w:val="28"/>
          <w:szCs w:val="28"/>
        </w:rPr>
        <w:t>在大运河泗县段沿河裸露土地区域栽种麦冬草</w:t>
      </w:r>
      <w:r>
        <w:rPr>
          <w:rFonts w:hint="eastAsia"/>
          <w:sz w:val="28"/>
          <w:szCs w:val="28"/>
        </w:rPr>
        <w:t>等植物，</w:t>
      </w:r>
      <w:r>
        <w:rPr>
          <w:sz w:val="28"/>
          <w:szCs w:val="28"/>
        </w:rPr>
        <w:t>使不见裸土。</w:t>
      </w:r>
    </w:p>
    <w:p>
      <w:pPr>
        <w:spacing w:line="360" w:lineRule="auto"/>
        <w:jc w:val="center"/>
        <w:rPr>
          <w:b/>
          <w:bCs/>
          <w:sz w:val="24"/>
        </w:rPr>
      </w:pPr>
      <w:r>
        <w:rPr>
          <w:b/>
          <w:bCs/>
          <w:sz w:val="24"/>
        </w:rPr>
        <w:t>表</w:t>
      </w:r>
      <w:r>
        <w:rPr>
          <w:rFonts w:hint="eastAsia"/>
          <w:b/>
          <w:bCs/>
          <w:sz w:val="24"/>
        </w:rPr>
        <w:t>4-1</w:t>
      </w:r>
      <w:r>
        <w:rPr>
          <w:b/>
          <w:bCs/>
          <w:sz w:val="24"/>
        </w:rPr>
        <w:t xml:space="preserve">  </w:t>
      </w:r>
      <w:r>
        <w:rPr>
          <w:rFonts w:hint="eastAsia"/>
          <w:b/>
          <w:bCs/>
          <w:sz w:val="24"/>
        </w:rPr>
        <w:t>滨河生态屏障建设项目汇总</w:t>
      </w:r>
      <w:r>
        <w:rPr>
          <w:b/>
          <w:bCs/>
          <w:sz w:val="24"/>
        </w:rPr>
        <w:t>表</w:t>
      </w:r>
    </w:p>
    <w:tbl>
      <w:tblPr>
        <w:tblStyle w:val="28"/>
        <w:tblW w:w="827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1"/>
        <w:gridCol w:w="2712"/>
        <w:gridCol w:w="1656"/>
        <w:gridCol w:w="952"/>
        <w:gridCol w:w="11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6" w:hRule="atLeast"/>
          <w:tblHeader/>
          <w:jc w:val="center"/>
        </w:trPr>
        <w:tc>
          <w:tcPr>
            <w:tcW w:w="1841" w:type="dxa"/>
            <w:shd w:val="clear" w:color="auto" w:fill="auto"/>
            <w:vAlign w:val="center"/>
          </w:tcPr>
          <w:p>
            <w:pPr>
              <w:widowControl/>
              <w:jc w:val="center"/>
              <w:rPr>
                <w:b/>
                <w:bCs/>
                <w:color w:val="000000"/>
                <w:kern w:val="0"/>
                <w:sz w:val="24"/>
              </w:rPr>
            </w:pPr>
            <w:r>
              <w:rPr>
                <w:b/>
                <w:bCs/>
                <w:color w:val="000000"/>
                <w:kern w:val="0"/>
                <w:sz w:val="24"/>
              </w:rPr>
              <w:t>工程</w:t>
            </w:r>
          </w:p>
          <w:p>
            <w:pPr>
              <w:widowControl/>
              <w:jc w:val="center"/>
              <w:rPr>
                <w:b/>
                <w:bCs/>
                <w:color w:val="000000"/>
                <w:kern w:val="0"/>
                <w:sz w:val="24"/>
              </w:rPr>
            </w:pPr>
            <w:r>
              <w:rPr>
                <w:rFonts w:hint="eastAsia"/>
                <w:b/>
                <w:bCs/>
                <w:color w:val="000000"/>
                <w:kern w:val="0"/>
                <w:sz w:val="24"/>
              </w:rPr>
              <w:t>名称</w:t>
            </w:r>
          </w:p>
        </w:tc>
        <w:tc>
          <w:tcPr>
            <w:tcW w:w="2712" w:type="dxa"/>
            <w:shd w:val="clear" w:color="auto" w:fill="auto"/>
            <w:vAlign w:val="center"/>
          </w:tcPr>
          <w:p>
            <w:pPr>
              <w:widowControl/>
              <w:jc w:val="center"/>
              <w:rPr>
                <w:b/>
                <w:bCs/>
                <w:color w:val="000000"/>
                <w:kern w:val="0"/>
                <w:sz w:val="24"/>
              </w:rPr>
            </w:pPr>
            <w:r>
              <w:rPr>
                <w:rFonts w:hint="eastAsia"/>
                <w:b/>
                <w:bCs/>
                <w:color w:val="000000"/>
                <w:kern w:val="0"/>
                <w:sz w:val="24"/>
              </w:rPr>
              <w:t>主要建设内容</w:t>
            </w:r>
          </w:p>
        </w:tc>
        <w:tc>
          <w:tcPr>
            <w:tcW w:w="1656" w:type="dxa"/>
            <w:shd w:val="clear" w:color="auto" w:fill="auto"/>
            <w:vAlign w:val="center"/>
          </w:tcPr>
          <w:p>
            <w:pPr>
              <w:widowControl/>
              <w:jc w:val="center"/>
              <w:rPr>
                <w:b/>
                <w:bCs/>
                <w:color w:val="000000"/>
                <w:kern w:val="0"/>
                <w:sz w:val="24"/>
              </w:rPr>
            </w:pPr>
            <w:r>
              <w:rPr>
                <w:b/>
                <w:bCs/>
                <w:color w:val="000000"/>
                <w:kern w:val="0"/>
                <w:sz w:val="24"/>
              </w:rPr>
              <w:t>责任</w:t>
            </w:r>
          </w:p>
          <w:p>
            <w:pPr>
              <w:widowControl/>
              <w:jc w:val="center"/>
              <w:rPr>
                <w:b/>
                <w:bCs/>
                <w:color w:val="000000"/>
                <w:kern w:val="0"/>
                <w:sz w:val="24"/>
              </w:rPr>
            </w:pPr>
            <w:r>
              <w:rPr>
                <w:b/>
                <w:bCs/>
                <w:color w:val="000000"/>
                <w:kern w:val="0"/>
                <w:sz w:val="24"/>
              </w:rPr>
              <w:t>主体</w:t>
            </w:r>
          </w:p>
        </w:tc>
        <w:tc>
          <w:tcPr>
            <w:tcW w:w="952" w:type="dxa"/>
            <w:shd w:val="clear" w:color="auto" w:fill="auto"/>
            <w:vAlign w:val="center"/>
          </w:tcPr>
          <w:p>
            <w:pPr>
              <w:widowControl/>
              <w:jc w:val="center"/>
              <w:rPr>
                <w:b/>
                <w:bCs/>
                <w:color w:val="000000"/>
                <w:kern w:val="0"/>
                <w:sz w:val="24"/>
              </w:rPr>
            </w:pPr>
            <w:r>
              <w:rPr>
                <w:b/>
                <w:bCs/>
                <w:color w:val="000000"/>
                <w:kern w:val="0"/>
                <w:sz w:val="24"/>
              </w:rPr>
              <w:t>完成</w:t>
            </w:r>
          </w:p>
          <w:p>
            <w:pPr>
              <w:widowControl/>
              <w:jc w:val="center"/>
              <w:rPr>
                <w:b/>
                <w:bCs/>
                <w:color w:val="000000"/>
                <w:kern w:val="0"/>
                <w:sz w:val="24"/>
              </w:rPr>
            </w:pPr>
            <w:r>
              <w:rPr>
                <w:b/>
                <w:bCs/>
                <w:color w:val="000000"/>
                <w:kern w:val="0"/>
                <w:sz w:val="24"/>
              </w:rPr>
              <w:t>期限</w:t>
            </w:r>
          </w:p>
        </w:tc>
        <w:tc>
          <w:tcPr>
            <w:tcW w:w="1116" w:type="dxa"/>
            <w:shd w:val="clear" w:color="auto" w:fill="auto"/>
            <w:vAlign w:val="center"/>
          </w:tcPr>
          <w:p>
            <w:pPr>
              <w:widowControl/>
              <w:jc w:val="center"/>
              <w:rPr>
                <w:b/>
                <w:bCs/>
                <w:color w:val="000000"/>
                <w:kern w:val="0"/>
                <w:sz w:val="24"/>
              </w:rPr>
            </w:pPr>
            <w:r>
              <w:rPr>
                <w:b/>
                <w:bCs/>
                <w:color w:val="000000"/>
                <w:kern w:val="0"/>
                <w:sz w:val="24"/>
              </w:rPr>
              <w:t>投资</w:t>
            </w:r>
          </w:p>
          <w:p>
            <w:pPr>
              <w:widowControl/>
              <w:jc w:val="center"/>
              <w:rPr>
                <w:b/>
                <w:bCs/>
                <w:color w:val="000000"/>
                <w:kern w:val="0"/>
                <w:sz w:val="24"/>
              </w:rPr>
            </w:pPr>
            <w:r>
              <w:rPr>
                <w:b/>
                <w:bCs/>
                <w:color w:val="000000"/>
                <w:kern w:val="0"/>
                <w:sz w:val="24"/>
              </w:rPr>
              <w:t>金额</w:t>
            </w:r>
          </w:p>
          <w:p>
            <w:pPr>
              <w:widowControl/>
              <w:jc w:val="center"/>
              <w:rPr>
                <w:b/>
                <w:bCs/>
                <w:color w:val="000000"/>
                <w:kern w:val="0"/>
                <w:sz w:val="24"/>
              </w:rPr>
            </w:pPr>
            <w:r>
              <w:rPr>
                <w:b/>
                <w:bCs/>
                <w:color w:val="000000"/>
                <w:kern w:val="0"/>
                <w:sz w:val="24"/>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25" w:hRule="atLeast"/>
          <w:jc w:val="center"/>
        </w:trPr>
        <w:tc>
          <w:tcPr>
            <w:tcW w:w="1841" w:type="dxa"/>
            <w:shd w:val="clear" w:color="auto" w:fill="auto"/>
            <w:vAlign w:val="center"/>
          </w:tcPr>
          <w:p>
            <w:pPr>
              <w:widowControl/>
              <w:jc w:val="center"/>
              <w:rPr>
                <w:color w:val="000000"/>
                <w:kern w:val="0"/>
                <w:sz w:val="24"/>
              </w:rPr>
            </w:pPr>
            <w:r>
              <w:rPr>
                <w:rFonts w:hint="eastAsia"/>
                <w:color w:val="000000"/>
                <w:kern w:val="0"/>
                <w:sz w:val="24"/>
              </w:rPr>
              <w:t>滨河防护林生态屏障建设工程</w:t>
            </w:r>
          </w:p>
        </w:tc>
        <w:tc>
          <w:tcPr>
            <w:tcW w:w="2712" w:type="dxa"/>
            <w:shd w:val="clear" w:color="auto" w:fill="auto"/>
            <w:vAlign w:val="center"/>
          </w:tcPr>
          <w:p>
            <w:pPr>
              <w:widowControl/>
              <w:jc w:val="left"/>
              <w:rPr>
                <w:color w:val="000000"/>
                <w:kern w:val="0"/>
                <w:sz w:val="24"/>
              </w:rPr>
            </w:pPr>
            <w:r>
              <w:rPr>
                <w:rFonts w:hint="eastAsia"/>
                <w:color w:val="000000"/>
                <w:kern w:val="0"/>
                <w:sz w:val="24"/>
              </w:rPr>
              <w:t>对沿河两岸分别进行绿化规整以及裸土覆盖乔木类以无絮杨、刺槐、榆树</w:t>
            </w:r>
            <w:r>
              <w:rPr>
                <w:color w:val="000000"/>
                <w:kern w:val="0"/>
                <w:sz w:val="24"/>
              </w:rPr>
              <w:t>等</w:t>
            </w:r>
            <w:r>
              <w:rPr>
                <w:rFonts w:hint="eastAsia"/>
                <w:color w:val="000000"/>
                <w:kern w:val="0"/>
                <w:sz w:val="24"/>
              </w:rPr>
              <w:t>；灌木类以红叶李、樱花、枇杷等；并配套栽种麦冬草。</w:t>
            </w:r>
          </w:p>
        </w:tc>
        <w:tc>
          <w:tcPr>
            <w:tcW w:w="1656" w:type="dxa"/>
            <w:shd w:val="clear" w:color="auto" w:fill="auto"/>
            <w:noWrap/>
            <w:vAlign w:val="center"/>
          </w:tcPr>
          <w:p>
            <w:pPr>
              <w:jc w:val="left"/>
              <w:rPr>
                <w:color w:val="000000"/>
                <w:kern w:val="0"/>
                <w:sz w:val="24"/>
              </w:rPr>
            </w:pPr>
            <w:r>
              <w:rPr>
                <w:rFonts w:hint="eastAsia"/>
                <w:color w:val="000000"/>
                <w:kern w:val="0"/>
                <w:sz w:val="24"/>
              </w:rPr>
              <w:t>泗县人民政府</w:t>
            </w:r>
          </w:p>
        </w:tc>
        <w:tc>
          <w:tcPr>
            <w:tcW w:w="952" w:type="dxa"/>
            <w:shd w:val="clear" w:color="auto" w:fill="auto"/>
            <w:noWrap/>
            <w:vAlign w:val="center"/>
          </w:tcPr>
          <w:p>
            <w:pPr>
              <w:widowControl/>
              <w:jc w:val="center"/>
              <w:rPr>
                <w:color w:val="000000"/>
                <w:kern w:val="0"/>
                <w:sz w:val="24"/>
              </w:rPr>
            </w:pPr>
            <w:r>
              <w:rPr>
                <w:color w:val="000000"/>
                <w:kern w:val="0"/>
                <w:sz w:val="24"/>
              </w:rPr>
              <w:t>2025</w:t>
            </w:r>
          </w:p>
        </w:tc>
        <w:tc>
          <w:tcPr>
            <w:tcW w:w="1116" w:type="dxa"/>
            <w:shd w:val="clear" w:color="auto" w:fill="auto"/>
            <w:noWrap/>
            <w:vAlign w:val="center"/>
          </w:tcPr>
          <w:p>
            <w:pPr>
              <w:jc w:val="center"/>
              <w:rPr>
                <w:color w:val="FF0000"/>
                <w:kern w:val="0"/>
                <w:sz w:val="24"/>
              </w:rPr>
            </w:pPr>
            <w:r>
              <w:rPr>
                <w:rFonts w:hint="eastAsia"/>
                <w:color w:val="000000" w:themeColor="text1"/>
                <w:kern w:val="0"/>
                <w:sz w:val="24"/>
                <w14:textFill>
                  <w14:solidFill>
                    <w14:schemeClr w14:val="tx1"/>
                  </w14:solidFill>
                </w14:textFill>
              </w:rPr>
              <w:t>400</w:t>
            </w:r>
          </w:p>
        </w:tc>
      </w:tr>
    </w:tbl>
    <w:p>
      <w:pPr>
        <w:pStyle w:val="25"/>
        <w:spacing w:before="156" w:after="156"/>
        <w:ind w:left="0" w:leftChars="0"/>
      </w:pPr>
      <w:bookmarkStart w:id="129" w:name="_Toc84536540"/>
      <w:r>
        <w:rPr>
          <w:rFonts w:hint="eastAsia"/>
        </w:rPr>
        <w:t>4.1.2 推进滨水生态空间建设</w:t>
      </w:r>
      <w:bookmarkEnd w:id="129"/>
    </w:p>
    <w:p>
      <w:pPr>
        <w:adjustRightInd w:val="0"/>
        <w:spacing w:line="360" w:lineRule="auto"/>
        <w:ind w:firstLine="562" w:firstLineChars="200"/>
        <w:rPr>
          <w:color w:val="000000"/>
          <w:sz w:val="28"/>
          <w:szCs w:val="28"/>
        </w:rPr>
      </w:pPr>
      <w:r>
        <w:rPr>
          <w:rFonts w:hint="eastAsia"/>
          <w:b/>
          <w:color w:val="000000"/>
          <w:sz w:val="28"/>
          <w:szCs w:val="28"/>
        </w:rPr>
        <w:t>加强自然公园体系建设。</w:t>
      </w:r>
      <w:r>
        <w:rPr>
          <w:rFonts w:hint="eastAsia"/>
          <w:color w:val="000000"/>
          <w:sz w:val="28"/>
          <w:szCs w:val="28"/>
        </w:rPr>
        <w:t>坚持顺应自然、尊重规律，量水而行、节水为重，在泗城近郊，</w:t>
      </w:r>
      <w:r>
        <w:rPr>
          <w:rFonts w:hint="eastAsia" w:eastAsiaTheme="minorEastAsia"/>
          <w:sz w:val="28"/>
          <w:szCs w:val="28"/>
        </w:rPr>
        <w:t>加快</w:t>
      </w:r>
      <w:r>
        <w:rPr>
          <w:rFonts w:eastAsiaTheme="minorEastAsia"/>
          <w:sz w:val="28"/>
          <w:szCs w:val="28"/>
        </w:rPr>
        <w:t>泗县运河中央公园</w:t>
      </w:r>
      <w:r>
        <w:rPr>
          <w:rFonts w:hint="eastAsia" w:eastAsiaTheme="minorEastAsia"/>
          <w:sz w:val="28"/>
          <w:szCs w:val="28"/>
        </w:rPr>
        <w:t>、</w:t>
      </w:r>
      <w:r>
        <w:rPr>
          <w:rFonts w:eastAsiaTheme="minorEastAsia"/>
          <w:sz w:val="28"/>
          <w:szCs w:val="28"/>
        </w:rPr>
        <w:t>泗县大运河遗址公园</w:t>
      </w:r>
      <w:r>
        <w:rPr>
          <w:rFonts w:hint="eastAsia" w:eastAsiaTheme="minorEastAsia"/>
          <w:sz w:val="28"/>
          <w:szCs w:val="28"/>
        </w:rPr>
        <w:t>以及</w:t>
      </w:r>
      <w:r>
        <w:rPr>
          <w:rFonts w:eastAsiaTheme="minorEastAsia"/>
          <w:sz w:val="28"/>
          <w:szCs w:val="28"/>
        </w:rPr>
        <w:t>泗县运河城市森林公园</w:t>
      </w:r>
      <w:r>
        <w:rPr>
          <w:rFonts w:hint="eastAsia" w:eastAsiaTheme="minorEastAsia"/>
          <w:sz w:val="28"/>
          <w:szCs w:val="28"/>
        </w:rPr>
        <w:t>建设</w:t>
      </w:r>
      <w:r>
        <w:rPr>
          <w:rFonts w:hint="eastAsia"/>
          <w:color w:val="000000"/>
          <w:sz w:val="28"/>
          <w:szCs w:val="28"/>
        </w:rPr>
        <w:t>。</w:t>
      </w:r>
    </w:p>
    <w:p>
      <w:pPr>
        <w:adjustRightInd w:val="0"/>
        <w:spacing w:line="360" w:lineRule="auto"/>
        <w:ind w:firstLine="562" w:firstLineChars="200"/>
        <w:rPr>
          <w:color w:val="000000"/>
          <w:sz w:val="28"/>
          <w:szCs w:val="28"/>
        </w:rPr>
      </w:pPr>
      <w:r>
        <w:rPr>
          <w:rFonts w:hint="eastAsia"/>
          <w:b/>
          <w:color w:val="000000"/>
          <w:sz w:val="28"/>
          <w:szCs w:val="28"/>
        </w:rPr>
        <w:t>拓展绿色生态空间。</w:t>
      </w:r>
      <w:r>
        <w:rPr>
          <w:rFonts w:hint="eastAsia"/>
          <w:color w:val="000000"/>
          <w:sz w:val="28"/>
          <w:szCs w:val="28"/>
        </w:rPr>
        <w:t>坚持“生态优先”的原则，在功能、景观等方面均保持整体忙，以历史文脉、地域文化、生态休闲为内涵，体现森林公园、湿地公园、地质公园等各类自然公园的功能多元化、绿化生态化和景观本土化。在泗城镇建成区，加强规划管控，落实土地用途管制，腾退的土地用于建设公共绿地，切实维护运河风貌。</w:t>
      </w:r>
    </w:p>
    <w:p>
      <w:pPr>
        <w:spacing w:line="360" w:lineRule="auto"/>
        <w:jc w:val="center"/>
        <w:rPr>
          <w:b/>
          <w:bCs/>
          <w:sz w:val="24"/>
        </w:rPr>
      </w:pPr>
      <w:r>
        <w:rPr>
          <w:b/>
          <w:bCs/>
          <w:sz w:val="24"/>
        </w:rPr>
        <w:t>表</w:t>
      </w:r>
      <w:r>
        <w:rPr>
          <w:rFonts w:hint="eastAsia"/>
          <w:b/>
          <w:bCs/>
          <w:sz w:val="24"/>
        </w:rPr>
        <w:t>4-2</w:t>
      </w:r>
      <w:r>
        <w:rPr>
          <w:b/>
          <w:bCs/>
          <w:sz w:val="24"/>
        </w:rPr>
        <w:t xml:space="preserve">  </w:t>
      </w:r>
      <w:r>
        <w:rPr>
          <w:rFonts w:hint="eastAsia"/>
          <w:b/>
          <w:bCs/>
          <w:sz w:val="24"/>
        </w:rPr>
        <w:t>滨水生态空间建设项目汇总</w:t>
      </w:r>
      <w:r>
        <w:rPr>
          <w:b/>
          <w:bCs/>
          <w:sz w:val="24"/>
        </w:rPr>
        <w:t>表</w:t>
      </w:r>
    </w:p>
    <w:tbl>
      <w:tblPr>
        <w:tblStyle w:val="28"/>
        <w:tblW w:w="827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5"/>
        <w:gridCol w:w="2743"/>
        <w:gridCol w:w="1689"/>
        <w:gridCol w:w="891"/>
        <w:gridCol w:w="11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6" w:hRule="atLeast"/>
          <w:tblHeader/>
          <w:jc w:val="center"/>
        </w:trPr>
        <w:tc>
          <w:tcPr>
            <w:tcW w:w="1775" w:type="dxa"/>
            <w:shd w:val="clear" w:color="auto" w:fill="auto"/>
            <w:vAlign w:val="center"/>
          </w:tcPr>
          <w:p>
            <w:pPr>
              <w:widowControl/>
              <w:jc w:val="center"/>
              <w:rPr>
                <w:b/>
                <w:bCs/>
                <w:color w:val="000000"/>
                <w:kern w:val="0"/>
                <w:sz w:val="24"/>
              </w:rPr>
            </w:pPr>
            <w:r>
              <w:rPr>
                <w:b/>
                <w:bCs/>
                <w:color w:val="000000"/>
                <w:kern w:val="0"/>
                <w:sz w:val="24"/>
              </w:rPr>
              <w:t>工程</w:t>
            </w:r>
          </w:p>
          <w:p>
            <w:pPr>
              <w:widowControl/>
              <w:jc w:val="center"/>
              <w:rPr>
                <w:b/>
                <w:bCs/>
                <w:color w:val="000000"/>
                <w:kern w:val="0"/>
                <w:sz w:val="24"/>
              </w:rPr>
            </w:pPr>
            <w:r>
              <w:rPr>
                <w:rFonts w:hint="eastAsia"/>
                <w:b/>
                <w:bCs/>
                <w:color w:val="000000"/>
                <w:kern w:val="0"/>
                <w:sz w:val="24"/>
              </w:rPr>
              <w:t>名称</w:t>
            </w:r>
          </w:p>
        </w:tc>
        <w:tc>
          <w:tcPr>
            <w:tcW w:w="2743" w:type="dxa"/>
            <w:shd w:val="clear" w:color="auto" w:fill="auto"/>
            <w:vAlign w:val="center"/>
          </w:tcPr>
          <w:p>
            <w:pPr>
              <w:widowControl/>
              <w:jc w:val="center"/>
              <w:rPr>
                <w:b/>
                <w:bCs/>
                <w:color w:val="000000"/>
                <w:kern w:val="0"/>
                <w:sz w:val="24"/>
              </w:rPr>
            </w:pPr>
            <w:r>
              <w:rPr>
                <w:rFonts w:hint="eastAsia"/>
                <w:b/>
                <w:bCs/>
                <w:color w:val="000000"/>
                <w:kern w:val="0"/>
                <w:sz w:val="24"/>
              </w:rPr>
              <w:t>主要建设内容</w:t>
            </w:r>
          </w:p>
        </w:tc>
        <w:tc>
          <w:tcPr>
            <w:tcW w:w="1689" w:type="dxa"/>
            <w:shd w:val="clear" w:color="auto" w:fill="auto"/>
            <w:vAlign w:val="center"/>
          </w:tcPr>
          <w:p>
            <w:pPr>
              <w:widowControl/>
              <w:jc w:val="center"/>
              <w:rPr>
                <w:b/>
                <w:bCs/>
                <w:color w:val="000000"/>
                <w:kern w:val="0"/>
                <w:sz w:val="24"/>
              </w:rPr>
            </w:pPr>
            <w:r>
              <w:rPr>
                <w:b/>
                <w:bCs/>
                <w:color w:val="000000"/>
                <w:kern w:val="0"/>
                <w:sz w:val="24"/>
              </w:rPr>
              <w:t>责任</w:t>
            </w:r>
          </w:p>
          <w:p>
            <w:pPr>
              <w:widowControl/>
              <w:jc w:val="center"/>
              <w:rPr>
                <w:b/>
                <w:bCs/>
                <w:color w:val="000000"/>
                <w:kern w:val="0"/>
                <w:sz w:val="24"/>
              </w:rPr>
            </w:pPr>
            <w:r>
              <w:rPr>
                <w:b/>
                <w:bCs/>
                <w:color w:val="000000"/>
                <w:kern w:val="0"/>
                <w:sz w:val="24"/>
              </w:rPr>
              <w:t>主体</w:t>
            </w:r>
          </w:p>
        </w:tc>
        <w:tc>
          <w:tcPr>
            <w:tcW w:w="891" w:type="dxa"/>
            <w:shd w:val="clear" w:color="auto" w:fill="auto"/>
            <w:vAlign w:val="center"/>
          </w:tcPr>
          <w:p>
            <w:pPr>
              <w:widowControl/>
              <w:jc w:val="center"/>
              <w:rPr>
                <w:b/>
                <w:bCs/>
                <w:color w:val="000000"/>
                <w:kern w:val="0"/>
                <w:sz w:val="24"/>
              </w:rPr>
            </w:pPr>
            <w:r>
              <w:rPr>
                <w:b/>
                <w:bCs/>
                <w:color w:val="000000"/>
                <w:kern w:val="0"/>
                <w:sz w:val="24"/>
              </w:rPr>
              <w:t>完成</w:t>
            </w:r>
          </w:p>
          <w:p>
            <w:pPr>
              <w:widowControl/>
              <w:jc w:val="center"/>
              <w:rPr>
                <w:b/>
                <w:bCs/>
                <w:color w:val="000000"/>
                <w:kern w:val="0"/>
                <w:sz w:val="24"/>
              </w:rPr>
            </w:pPr>
            <w:r>
              <w:rPr>
                <w:b/>
                <w:bCs/>
                <w:color w:val="000000"/>
                <w:kern w:val="0"/>
                <w:sz w:val="24"/>
              </w:rPr>
              <w:t>期限</w:t>
            </w:r>
          </w:p>
        </w:tc>
        <w:tc>
          <w:tcPr>
            <w:tcW w:w="1179" w:type="dxa"/>
            <w:shd w:val="clear" w:color="auto" w:fill="auto"/>
            <w:vAlign w:val="center"/>
          </w:tcPr>
          <w:p>
            <w:pPr>
              <w:widowControl/>
              <w:jc w:val="center"/>
              <w:rPr>
                <w:b/>
                <w:bCs/>
                <w:color w:val="000000"/>
                <w:kern w:val="0"/>
                <w:sz w:val="24"/>
              </w:rPr>
            </w:pPr>
            <w:r>
              <w:rPr>
                <w:b/>
                <w:bCs/>
                <w:color w:val="000000"/>
                <w:kern w:val="0"/>
                <w:sz w:val="24"/>
              </w:rPr>
              <w:t>投资</w:t>
            </w:r>
          </w:p>
          <w:p>
            <w:pPr>
              <w:widowControl/>
              <w:jc w:val="center"/>
              <w:rPr>
                <w:b/>
                <w:bCs/>
                <w:color w:val="000000"/>
                <w:kern w:val="0"/>
                <w:sz w:val="24"/>
              </w:rPr>
            </w:pPr>
            <w:r>
              <w:rPr>
                <w:b/>
                <w:bCs/>
                <w:color w:val="000000"/>
                <w:kern w:val="0"/>
                <w:sz w:val="24"/>
              </w:rPr>
              <w:t>金额</w:t>
            </w:r>
          </w:p>
          <w:p>
            <w:pPr>
              <w:widowControl/>
              <w:jc w:val="center"/>
              <w:rPr>
                <w:b/>
                <w:bCs/>
                <w:color w:val="000000"/>
                <w:kern w:val="0"/>
                <w:sz w:val="24"/>
              </w:rPr>
            </w:pPr>
            <w:r>
              <w:rPr>
                <w:b/>
                <w:bCs/>
                <w:color w:val="000000"/>
                <w:kern w:val="0"/>
                <w:sz w:val="24"/>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3" w:hRule="atLeast"/>
          <w:jc w:val="center"/>
        </w:trPr>
        <w:tc>
          <w:tcPr>
            <w:tcW w:w="1775" w:type="dxa"/>
            <w:shd w:val="clear" w:color="auto" w:fill="auto"/>
            <w:vAlign w:val="center"/>
          </w:tcPr>
          <w:p>
            <w:pPr>
              <w:widowControl/>
              <w:jc w:val="center"/>
              <w:rPr>
                <w:rFonts w:eastAsiaTheme="minorEastAsia"/>
                <w:kern w:val="0"/>
                <w:sz w:val="24"/>
              </w:rPr>
            </w:pPr>
            <w:r>
              <w:rPr>
                <w:rFonts w:eastAsiaTheme="minorEastAsia"/>
                <w:kern w:val="0"/>
                <w:sz w:val="24"/>
              </w:rPr>
              <w:t>泗县运河中央</w:t>
            </w:r>
          </w:p>
          <w:p>
            <w:pPr>
              <w:widowControl/>
              <w:jc w:val="center"/>
              <w:rPr>
                <w:color w:val="000000"/>
                <w:kern w:val="0"/>
                <w:sz w:val="24"/>
              </w:rPr>
            </w:pPr>
            <w:r>
              <w:rPr>
                <w:rFonts w:eastAsiaTheme="minorEastAsia"/>
                <w:kern w:val="0"/>
                <w:sz w:val="24"/>
              </w:rPr>
              <w:t>公园</w:t>
            </w:r>
          </w:p>
        </w:tc>
        <w:tc>
          <w:tcPr>
            <w:tcW w:w="2743" w:type="dxa"/>
            <w:shd w:val="clear" w:color="auto" w:fill="auto"/>
            <w:vAlign w:val="center"/>
          </w:tcPr>
          <w:p>
            <w:pPr>
              <w:widowControl/>
              <w:jc w:val="left"/>
              <w:rPr>
                <w:rFonts w:eastAsiaTheme="minorEastAsia"/>
                <w:kern w:val="0"/>
                <w:sz w:val="24"/>
              </w:rPr>
            </w:pPr>
            <w:r>
              <w:rPr>
                <w:rFonts w:eastAsiaTheme="minorEastAsia"/>
                <w:kern w:val="0"/>
                <w:sz w:val="24"/>
              </w:rPr>
              <w:t>依托古运河，建设综合性公园</w:t>
            </w:r>
            <w:r>
              <w:rPr>
                <w:rFonts w:hint="eastAsia" w:eastAsiaTheme="minorEastAsia"/>
                <w:kern w:val="0"/>
                <w:sz w:val="24"/>
              </w:rPr>
              <w:t>。</w:t>
            </w:r>
          </w:p>
        </w:tc>
        <w:tc>
          <w:tcPr>
            <w:tcW w:w="1689" w:type="dxa"/>
            <w:shd w:val="clear" w:color="auto" w:fill="auto"/>
            <w:noWrap/>
            <w:vAlign w:val="center"/>
          </w:tcPr>
          <w:p>
            <w:pPr>
              <w:widowControl/>
              <w:jc w:val="center"/>
              <w:rPr>
                <w:rFonts w:eastAsiaTheme="minorEastAsia"/>
                <w:kern w:val="0"/>
                <w:sz w:val="24"/>
              </w:rPr>
            </w:pPr>
            <w:r>
              <w:rPr>
                <w:rFonts w:hint="eastAsia" w:eastAsiaTheme="minorEastAsia"/>
                <w:kern w:val="0"/>
                <w:sz w:val="24"/>
              </w:rPr>
              <w:t>泗县人民政府</w:t>
            </w:r>
          </w:p>
        </w:tc>
        <w:tc>
          <w:tcPr>
            <w:tcW w:w="891" w:type="dxa"/>
            <w:shd w:val="clear" w:color="auto" w:fill="auto"/>
            <w:noWrap/>
            <w:vAlign w:val="center"/>
          </w:tcPr>
          <w:p>
            <w:pPr>
              <w:widowControl/>
              <w:jc w:val="center"/>
              <w:rPr>
                <w:rFonts w:eastAsiaTheme="minorEastAsia"/>
                <w:kern w:val="0"/>
                <w:sz w:val="24"/>
              </w:rPr>
            </w:pPr>
            <w:r>
              <w:rPr>
                <w:rFonts w:hint="eastAsia" w:eastAsiaTheme="minorEastAsia"/>
                <w:kern w:val="0"/>
                <w:sz w:val="24"/>
              </w:rPr>
              <w:t>2022</w:t>
            </w:r>
          </w:p>
        </w:tc>
        <w:tc>
          <w:tcPr>
            <w:tcW w:w="1179" w:type="dxa"/>
            <w:shd w:val="clear" w:color="auto" w:fill="auto"/>
            <w:noWrap/>
            <w:vAlign w:val="center"/>
          </w:tcPr>
          <w:p>
            <w:pPr>
              <w:widowControl/>
              <w:jc w:val="center"/>
              <w:rPr>
                <w:rFonts w:eastAsiaTheme="minorEastAsia"/>
                <w:kern w:val="0"/>
                <w:sz w:val="24"/>
              </w:rPr>
            </w:pPr>
            <w:r>
              <w:rPr>
                <w:rFonts w:hint="eastAsia" w:eastAsiaTheme="minorEastAsia"/>
                <w:kern w:val="0"/>
                <w:sz w:val="24"/>
              </w:rPr>
              <w:t>30000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78" w:hRule="atLeast"/>
          <w:jc w:val="center"/>
        </w:trPr>
        <w:tc>
          <w:tcPr>
            <w:tcW w:w="1775" w:type="dxa"/>
            <w:shd w:val="clear" w:color="auto" w:fill="auto"/>
            <w:vAlign w:val="center"/>
          </w:tcPr>
          <w:p>
            <w:pPr>
              <w:widowControl/>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泗县运河城市</w:t>
            </w:r>
          </w:p>
          <w:p>
            <w:pPr>
              <w:widowControl/>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森林公园</w:t>
            </w:r>
          </w:p>
        </w:tc>
        <w:tc>
          <w:tcPr>
            <w:tcW w:w="2743" w:type="dxa"/>
            <w:shd w:val="clear" w:color="auto" w:fill="auto"/>
            <w:vAlign w:val="center"/>
          </w:tcPr>
          <w:p>
            <w:pPr>
              <w:widowControl/>
              <w:jc w:val="lef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绿化造林面积1700亩，并实施沟渠改造、原道路提升和配套管理用房及其他附属设施建设。</w:t>
            </w:r>
          </w:p>
        </w:tc>
        <w:tc>
          <w:tcPr>
            <w:tcW w:w="1689" w:type="dxa"/>
            <w:shd w:val="clear" w:color="auto" w:fill="auto"/>
            <w:noWrap/>
            <w:vAlign w:val="center"/>
          </w:tcPr>
          <w:p>
            <w:pPr>
              <w:widowControl/>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泗县人民政府</w:t>
            </w:r>
          </w:p>
        </w:tc>
        <w:tc>
          <w:tcPr>
            <w:tcW w:w="891" w:type="dxa"/>
            <w:shd w:val="clear" w:color="auto" w:fill="auto"/>
            <w:noWrap/>
            <w:vAlign w:val="center"/>
          </w:tcPr>
          <w:p>
            <w:pPr>
              <w:widowControl/>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2022</w:t>
            </w:r>
          </w:p>
        </w:tc>
        <w:tc>
          <w:tcPr>
            <w:tcW w:w="1179" w:type="dxa"/>
            <w:shd w:val="clear" w:color="auto" w:fill="auto"/>
            <w:noWrap/>
            <w:vAlign w:val="center"/>
          </w:tcPr>
          <w:p>
            <w:pPr>
              <w:widowControl/>
              <w:jc w:val="center"/>
              <w:rPr>
                <w:rFonts w:eastAsia="等线"/>
                <w:color w:val="000000" w:themeColor="text1"/>
                <w:kern w:val="0"/>
                <w:sz w:val="24"/>
                <w14:textFill>
                  <w14:solidFill>
                    <w14:schemeClr w14:val="tx1"/>
                  </w14:solidFill>
                </w14:textFill>
              </w:rPr>
            </w:pPr>
            <w:r>
              <w:rPr>
                <w:rFonts w:eastAsia="等线"/>
                <w:color w:val="000000" w:themeColor="text1"/>
                <w:kern w:val="0"/>
                <w:sz w:val="24"/>
                <w14:textFill>
                  <w14:solidFill>
                    <w14:schemeClr w14:val="tx1"/>
                  </w14:solidFill>
                </w14:textFill>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78" w:hRule="atLeast"/>
          <w:jc w:val="center"/>
        </w:trPr>
        <w:tc>
          <w:tcPr>
            <w:tcW w:w="1775" w:type="dxa"/>
            <w:shd w:val="clear" w:color="auto" w:fill="auto"/>
            <w:vAlign w:val="center"/>
          </w:tcPr>
          <w:p>
            <w:pPr>
              <w:widowControl/>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泗县大运河遗址公园</w:t>
            </w:r>
          </w:p>
        </w:tc>
        <w:tc>
          <w:tcPr>
            <w:tcW w:w="2743" w:type="dxa"/>
            <w:shd w:val="clear" w:color="auto" w:fill="auto"/>
            <w:vAlign w:val="center"/>
          </w:tcPr>
          <w:p>
            <w:pPr>
              <w:widowControl/>
              <w:jc w:val="lef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围绕大运河泗县遗址文化，加强环境整治和绿化美化，运河文化带保护传承利用与修复，规划建设大运河遗址公园。</w:t>
            </w:r>
          </w:p>
        </w:tc>
        <w:tc>
          <w:tcPr>
            <w:tcW w:w="1689" w:type="dxa"/>
            <w:shd w:val="clear" w:color="auto" w:fill="auto"/>
            <w:noWrap/>
            <w:vAlign w:val="center"/>
          </w:tcPr>
          <w:p>
            <w:pPr>
              <w:widowControl/>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泗县人民政府</w:t>
            </w:r>
          </w:p>
        </w:tc>
        <w:tc>
          <w:tcPr>
            <w:tcW w:w="891" w:type="dxa"/>
            <w:shd w:val="clear" w:color="auto" w:fill="auto"/>
            <w:noWrap/>
            <w:vAlign w:val="center"/>
          </w:tcPr>
          <w:p>
            <w:pPr>
              <w:widowControl/>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2022</w:t>
            </w:r>
          </w:p>
        </w:tc>
        <w:tc>
          <w:tcPr>
            <w:tcW w:w="1179" w:type="dxa"/>
            <w:shd w:val="clear" w:color="auto" w:fill="auto"/>
            <w:noWrap/>
            <w:vAlign w:val="center"/>
          </w:tcPr>
          <w:p>
            <w:pPr>
              <w:widowControl/>
              <w:jc w:val="center"/>
              <w:rPr>
                <w:rFonts w:eastAsia="等线"/>
                <w:color w:val="000000" w:themeColor="text1"/>
                <w:kern w:val="0"/>
                <w:sz w:val="24"/>
                <w14:textFill>
                  <w14:solidFill>
                    <w14:schemeClr w14:val="tx1"/>
                  </w14:solidFill>
                </w14:textFill>
              </w:rPr>
            </w:pPr>
            <w:r>
              <w:rPr>
                <w:rFonts w:eastAsia="等线"/>
                <w:color w:val="000000" w:themeColor="text1"/>
                <w:kern w:val="0"/>
                <w:sz w:val="24"/>
                <w14:textFill>
                  <w14:solidFill>
                    <w14:schemeClr w14:val="tx1"/>
                  </w14:solidFill>
                </w14:textFill>
              </w:rPr>
              <w:t>85000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7" w:hRule="atLeast"/>
          <w:jc w:val="center"/>
        </w:trPr>
        <w:tc>
          <w:tcPr>
            <w:tcW w:w="7098" w:type="dxa"/>
            <w:gridSpan w:val="4"/>
            <w:shd w:val="clear" w:color="auto" w:fill="auto"/>
            <w:noWrap/>
            <w:vAlign w:val="center"/>
          </w:tcPr>
          <w:p>
            <w:pPr>
              <w:widowControl/>
              <w:jc w:val="center"/>
              <w:rPr>
                <w:b/>
                <w:color w:val="000000"/>
                <w:kern w:val="0"/>
                <w:sz w:val="24"/>
              </w:rPr>
            </w:pPr>
            <w:r>
              <w:rPr>
                <w:b/>
                <w:color w:val="000000"/>
                <w:kern w:val="0"/>
                <w:sz w:val="24"/>
              </w:rPr>
              <w:t>合计</w:t>
            </w:r>
          </w:p>
        </w:tc>
        <w:tc>
          <w:tcPr>
            <w:tcW w:w="1179" w:type="dxa"/>
            <w:shd w:val="clear" w:color="auto" w:fill="auto"/>
            <w:noWrap/>
            <w:vAlign w:val="center"/>
          </w:tcPr>
          <w:p>
            <w:pPr>
              <w:widowControl/>
              <w:jc w:val="center"/>
              <w:rPr>
                <w:b/>
                <w:color w:val="000000"/>
                <w:kern w:val="0"/>
                <w:sz w:val="24"/>
              </w:rPr>
            </w:pPr>
            <w:r>
              <w:rPr>
                <w:rFonts w:hint="eastAsia"/>
                <w:b/>
                <w:color w:val="000000"/>
                <w:kern w:val="0"/>
                <w:sz w:val="24"/>
              </w:rPr>
              <w:t>125000</w:t>
            </w:r>
          </w:p>
        </w:tc>
      </w:tr>
    </w:tbl>
    <w:p>
      <w:pPr>
        <w:pStyle w:val="25"/>
        <w:spacing w:before="0" w:beforeLines="0" w:after="0" w:afterLines="0" w:line="240" w:lineRule="auto"/>
        <w:ind w:left="0" w:leftChars="0"/>
        <w:outlineLvl w:val="9"/>
        <w:rPr>
          <w:sz w:val="21"/>
        </w:rPr>
      </w:pPr>
    </w:p>
    <w:p>
      <w:pPr>
        <w:pStyle w:val="25"/>
        <w:spacing w:before="156" w:after="156"/>
        <w:ind w:left="0" w:leftChars="0"/>
      </w:pPr>
      <w:bookmarkStart w:id="130" w:name="_Toc84536541"/>
      <w:r>
        <w:rPr>
          <w:rFonts w:hint="eastAsia"/>
        </w:rPr>
        <w:t>4.1.3 加强重点区域采煤塌陷区综合治理</w:t>
      </w:r>
      <w:bookmarkEnd w:id="130"/>
    </w:p>
    <w:p>
      <w:pPr>
        <w:spacing w:line="360" w:lineRule="auto"/>
        <w:ind w:firstLine="560" w:firstLineChars="200"/>
        <w:rPr>
          <w:color w:val="000000"/>
          <w:sz w:val="28"/>
          <w:szCs w:val="28"/>
        </w:rPr>
      </w:pPr>
      <w:r>
        <w:rPr>
          <w:rFonts w:hint="eastAsia"/>
          <w:color w:val="000000"/>
          <w:sz w:val="28"/>
          <w:szCs w:val="28"/>
        </w:rPr>
        <w:t>对于朱仙庄采煤沉陷区首先应统筹分析规划项目区域在城市中的功能和定位，合理确定项目规划区域的战略定位、发展目标、空间布局、开发建设思路和建设策略、道路交通等；其次，明确生态空间管控、水资源调蓄与水系连通、污染治理、生态建设、土地复垦与产业发展等方面思路；最后结合建设现状和建设条件，合理确定总平面布局，充分考虑文化旅游产业融合发展需求，细化建设项目安排，深化各功能区建筑、景观设计，提出道路交通设计方案。结合采煤沉陷时序，进行综合技术经济分析，估算工程量、拆迁量和总投资，满足收益覆盖投资需求。</w:t>
      </w:r>
    </w:p>
    <w:p>
      <w:pPr>
        <w:spacing w:line="360" w:lineRule="auto"/>
        <w:jc w:val="center"/>
        <w:rPr>
          <w:b/>
          <w:bCs/>
          <w:sz w:val="24"/>
        </w:rPr>
      </w:pPr>
      <w:r>
        <w:rPr>
          <w:rFonts w:hint="eastAsia"/>
          <w:b/>
          <w:bCs/>
          <w:sz w:val="24"/>
        </w:rPr>
        <w:t>表4</w:t>
      </w:r>
      <w:r>
        <w:rPr>
          <w:b/>
          <w:bCs/>
          <w:sz w:val="24"/>
        </w:rPr>
        <w:t>-</w:t>
      </w:r>
      <w:r>
        <w:rPr>
          <w:rFonts w:hint="eastAsia"/>
          <w:b/>
          <w:bCs/>
          <w:sz w:val="24"/>
        </w:rPr>
        <w:t>3</w:t>
      </w:r>
      <w:r>
        <w:rPr>
          <w:b/>
          <w:bCs/>
          <w:sz w:val="24"/>
        </w:rPr>
        <w:t xml:space="preserve">  </w:t>
      </w:r>
      <w:r>
        <w:rPr>
          <w:rFonts w:hint="eastAsia"/>
          <w:b/>
          <w:bCs/>
          <w:sz w:val="24"/>
        </w:rPr>
        <w:t>宿州市朱仙庄采煤沉陷区综合治理工程一览表</w:t>
      </w:r>
    </w:p>
    <w:tbl>
      <w:tblPr>
        <w:tblStyle w:val="28"/>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8"/>
        <w:gridCol w:w="3479"/>
        <w:gridCol w:w="1324"/>
        <w:gridCol w:w="1022"/>
        <w:gridCol w:w="12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70" w:hRule="atLeast"/>
          <w:tblHeader/>
          <w:jc w:val="center"/>
        </w:trPr>
        <w:tc>
          <w:tcPr>
            <w:tcW w:w="1448" w:type="dxa"/>
            <w:vAlign w:val="center"/>
          </w:tcPr>
          <w:p>
            <w:pPr>
              <w:widowControl/>
              <w:jc w:val="center"/>
              <w:rPr>
                <w:rFonts w:eastAsiaTheme="minorEastAsia"/>
                <w:b/>
                <w:kern w:val="0"/>
                <w:sz w:val="24"/>
              </w:rPr>
            </w:pPr>
            <w:r>
              <w:rPr>
                <w:rFonts w:eastAsiaTheme="minorEastAsia"/>
                <w:b/>
                <w:kern w:val="0"/>
                <w:sz w:val="24"/>
              </w:rPr>
              <w:t>项目名称</w:t>
            </w:r>
          </w:p>
        </w:tc>
        <w:tc>
          <w:tcPr>
            <w:tcW w:w="3479" w:type="dxa"/>
            <w:vAlign w:val="center"/>
          </w:tcPr>
          <w:p>
            <w:pPr>
              <w:widowControl/>
              <w:jc w:val="center"/>
              <w:rPr>
                <w:rFonts w:eastAsiaTheme="minorEastAsia"/>
                <w:b/>
                <w:kern w:val="0"/>
                <w:sz w:val="24"/>
              </w:rPr>
            </w:pPr>
            <w:r>
              <w:rPr>
                <w:rFonts w:eastAsiaTheme="minorEastAsia"/>
                <w:b/>
                <w:kern w:val="0"/>
                <w:sz w:val="24"/>
              </w:rPr>
              <w:t>主要建设内容</w:t>
            </w:r>
          </w:p>
        </w:tc>
        <w:tc>
          <w:tcPr>
            <w:tcW w:w="1324" w:type="dxa"/>
            <w:vAlign w:val="center"/>
          </w:tcPr>
          <w:p>
            <w:pPr>
              <w:widowControl/>
              <w:jc w:val="center"/>
              <w:rPr>
                <w:rFonts w:eastAsiaTheme="minorEastAsia"/>
                <w:b/>
                <w:kern w:val="0"/>
                <w:sz w:val="24"/>
              </w:rPr>
            </w:pPr>
            <w:r>
              <w:rPr>
                <w:rFonts w:eastAsiaTheme="minorEastAsia"/>
                <w:b/>
                <w:kern w:val="0"/>
                <w:sz w:val="24"/>
              </w:rPr>
              <w:t>责任主体</w:t>
            </w:r>
          </w:p>
        </w:tc>
        <w:tc>
          <w:tcPr>
            <w:tcW w:w="1022" w:type="dxa"/>
            <w:vAlign w:val="center"/>
          </w:tcPr>
          <w:p>
            <w:pPr>
              <w:widowControl/>
              <w:jc w:val="center"/>
              <w:rPr>
                <w:rFonts w:eastAsiaTheme="minorEastAsia"/>
                <w:b/>
                <w:kern w:val="0"/>
                <w:sz w:val="24"/>
              </w:rPr>
            </w:pPr>
            <w:r>
              <w:rPr>
                <w:rFonts w:eastAsiaTheme="minorEastAsia"/>
                <w:b/>
                <w:kern w:val="0"/>
                <w:sz w:val="24"/>
              </w:rPr>
              <w:t>建成</w:t>
            </w:r>
          </w:p>
          <w:p>
            <w:pPr>
              <w:widowControl/>
              <w:jc w:val="center"/>
              <w:rPr>
                <w:rFonts w:eastAsiaTheme="minorEastAsia"/>
                <w:b/>
                <w:kern w:val="0"/>
                <w:sz w:val="24"/>
              </w:rPr>
            </w:pPr>
            <w:r>
              <w:rPr>
                <w:rFonts w:eastAsiaTheme="minorEastAsia"/>
                <w:b/>
                <w:kern w:val="0"/>
                <w:sz w:val="24"/>
              </w:rPr>
              <w:t>期限</w:t>
            </w:r>
          </w:p>
        </w:tc>
        <w:tc>
          <w:tcPr>
            <w:tcW w:w="1255" w:type="dxa"/>
            <w:vAlign w:val="center"/>
          </w:tcPr>
          <w:p>
            <w:pPr>
              <w:widowControl/>
              <w:jc w:val="center"/>
              <w:rPr>
                <w:rFonts w:ascii="宋体" w:hAnsi="宋体" w:cs="宋体"/>
                <w:b/>
                <w:bCs/>
                <w:color w:val="000000"/>
                <w:kern w:val="0"/>
                <w:sz w:val="24"/>
              </w:rPr>
            </w:pPr>
            <w:r>
              <w:rPr>
                <w:rFonts w:hint="eastAsia" w:ascii="宋体" w:hAnsi="宋体" w:cs="宋体"/>
                <w:b/>
                <w:bCs/>
                <w:color w:val="000000"/>
                <w:kern w:val="0"/>
                <w:sz w:val="24"/>
              </w:rPr>
              <w:t>投资金额</w:t>
            </w:r>
          </w:p>
          <w:p>
            <w:pPr>
              <w:widowControl/>
              <w:jc w:val="center"/>
              <w:rPr>
                <w:rFonts w:eastAsiaTheme="minorEastAsia"/>
                <w:b/>
                <w:kern w:val="0"/>
                <w:sz w:val="24"/>
              </w:rPr>
            </w:pPr>
            <w:r>
              <w:rPr>
                <w:rFonts w:hint="eastAsia" w:ascii="宋体" w:hAnsi="宋体" w:cs="宋体"/>
                <w:b/>
                <w:bCs/>
                <w:color w:val="000000"/>
                <w:kern w:val="0"/>
                <w:sz w:val="24"/>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405" w:hRule="atLeast"/>
          <w:jc w:val="center"/>
        </w:trPr>
        <w:tc>
          <w:tcPr>
            <w:tcW w:w="1448" w:type="dxa"/>
            <w:vAlign w:val="center"/>
          </w:tcPr>
          <w:p>
            <w:pPr>
              <w:widowControl/>
              <w:jc w:val="center"/>
              <w:rPr>
                <w:rFonts w:eastAsiaTheme="minorEastAsia"/>
                <w:kern w:val="0"/>
                <w:sz w:val="24"/>
              </w:rPr>
            </w:pPr>
            <w:r>
              <w:rPr>
                <w:rFonts w:hint="eastAsia" w:eastAsiaTheme="minorEastAsia"/>
                <w:kern w:val="0"/>
                <w:sz w:val="24"/>
              </w:rPr>
              <w:t>宿州市朱仙庄采煤沉陷区综合治理工程</w:t>
            </w:r>
          </w:p>
        </w:tc>
        <w:tc>
          <w:tcPr>
            <w:tcW w:w="3479" w:type="dxa"/>
            <w:vAlign w:val="center"/>
          </w:tcPr>
          <w:p>
            <w:pPr>
              <w:widowControl/>
              <w:jc w:val="left"/>
              <w:rPr>
                <w:rFonts w:eastAsiaTheme="minorEastAsia"/>
                <w:kern w:val="0"/>
                <w:sz w:val="24"/>
              </w:rPr>
            </w:pPr>
            <w:r>
              <w:rPr>
                <w:rFonts w:hint="eastAsia" w:eastAsiaTheme="minorEastAsia"/>
                <w:kern w:val="0"/>
                <w:sz w:val="24"/>
              </w:rPr>
              <w:t>主要实施土地、水</w:t>
            </w:r>
            <w:r>
              <w:rPr>
                <w:rFonts w:eastAsiaTheme="minorEastAsia"/>
                <w:kern w:val="0"/>
                <w:sz w:val="24"/>
              </w:rPr>
              <w:t>环境治理</w:t>
            </w:r>
            <w:r>
              <w:rPr>
                <w:rFonts w:hint="eastAsia" w:eastAsiaTheme="minorEastAsia"/>
                <w:kern w:val="0"/>
                <w:sz w:val="24"/>
              </w:rPr>
              <w:t>和</w:t>
            </w:r>
            <w:r>
              <w:rPr>
                <w:rFonts w:eastAsiaTheme="minorEastAsia"/>
                <w:kern w:val="0"/>
                <w:sz w:val="24"/>
              </w:rPr>
              <w:t>资源利用工程</w:t>
            </w:r>
            <w:r>
              <w:rPr>
                <w:rFonts w:hint="eastAsia" w:eastAsiaTheme="minorEastAsia"/>
                <w:kern w:val="0"/>
                <w:sz w:val="24"/>
              </w:rPr>
              <w:t>，建设</w:t>
            </w:r>
            <w:r>
              <w:rPr>
                <w:rFonts w:eastAsiaTheme="minorEastAsia"/>
                <w:kern w:val="0"/>
                <w:sz w:val="24"/>
              </w:rPr>
              <w:t>景观工程</w:t>
            </w:r>
            <w:r>
              <w:rPr>
                <w:rFonts w:hint="eastAsia" w:eastAsiaTheme="minorEastAsia"/>
                <w:kern w:val="0"/>
                <w:sz w:val="24"/>
              </w:rPr>
              <w:t>和</w:t>
            </w:r>
            <w:r>
              <w:rPr>
                <w:rFonts w:eastAsiaTheme="minorEastAsia"/>
                <w:kern w:val="0"/>
                <w:sz w:val="24"/>
              </w:rPr>
              <w:t>公共市政基础设施。</w:t>
            </w:r>
          </w:p>
        </w:tc>
        <w:tc>
          <w:tcPr>
            <w:tcW w:w="1324" w:type="dxa"/>
            <w:vAlign w:val="center"/>
          </w:tcPr>
          <w:p>
            <w:pPr>
              <w:widowControl/>
              <w:jc w:val="center"/>
              <w:rPr>
                <w:rFonts w:eastAsiaTheme="minorEastAsia"/>
                <w:kern w:val="0"/>
                <w:sz w:val="24"/>
              </w:rPr>
            </w:pPr>
            <w:r>
              <w:rPr>
                <w:rFonts w:hint="eastAsia" w:eastAsiaTheme="minorEastAsia"/>
                <w:kern w:val="0"/>
                <w:sz w:val="24"/>
              </w:rPr>
              <w:t>市自然资源局</w:t>
            </w:r>
          </w:p>
        </w:tc>
        <w:tc>
          <w:tcPr>
            <w:tcW w:w="1022" w:type="dxa"/>
            <w:vAlign w:val="center"/>
          </w:tcPr>
          <w:p>
            <w:pPr>
              <w:widowControl/>
              <w:jc w:val="center"/>
              <w:rPr>
                <w:rFonts w:eastAsiaTheme="minorEastAsia"/>
                <w:kern w:val="0"/>
                <w:sz w:val="24"/>
              </w:rPr>
            </w:pPr>
            <w:r>
              <w:rPr>
                <w:rFonts w:hint="eastAsia" w:eastAsiaTheme="minorEastAsia"/>
                <w:kern w:val="0"/>
                <w:sz w:val="24"/>
              </w:rPr>
              <w:t>2022</w:t>
            </w:r>
          </w:p>
        </w:tc>
        <w:tc>
          <w:tcPr>
            <w:tcW w:w="1255" w:type="dxa"/>
            <w:vAlign w:val="center"/>
          </w:tcPr>
          <w:p>
            <w:pPr>
              <w:widowControl/>
              <w:jc w:val="center"/>
              <w:rPr>
                <w:rFonts w:eastAsiaTheme="minorEastAsia"/>
                <w:kern w:val="0"/>
                <w:sz w:val="24"/>
              </w:rPr>
            </w:pPr>
            <w:r>
              <w:rPr>
                <w:rFonts w:hint="eastAsia" w:eastAsiaTheme="minorEastAsia"/>
                <w:kern w:val="0"/>
                <w:sz w:val="24"/>
              </w:rPr>
              <w:t>370000</w:t>
            </w:r>
          </w:p>
        </w:tc>
      </w:tr>
    </w:tbl>
    <w:p/>
    <w:p>
      <w:pPr>
        <w:pStyle w:val="25"/>
        <w:spacing w:before="156" w:after="156"/>
        <w:ind w:left="0" w:leftChars="0"/>
      </w:pPr>
      <w:bookmarkStart w:id="131" w:name="_Toc84536542"/>
      <w:r>
        <w:rPr>
          <w:rFonts w:hint="eastAsia"/>
        </w:rPr>
        <w:t xml:space="preserve">4.1.4 </w:t>
      </w:r>
      <w:r>
        <w:t>加强生态空间管控</w:t>
      </w:r>
      <w:bookmarkEnd w:id="131"/>
    </w:p>
    <w:p>
      <w:pPr>
        <w:spacing w:line="360" w:lineRule="auto"/>
        <w:ind w:firstLine="560" w:firstLineChars="200"/>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严格自然生态环境和传统历史风貌保护，突出</w:t>
      </w:r>
      <w:r>
        <w:rPr>
          <w:rFonts w:hint="eastAsia" w:eastAsiaTheme="minorEastAsia"/>
          <w:b/>
          <w:color w:val="000000" w:themeColor="text1"/>
          <w:sz w:val="28"/>
          <w:szCs w:val="28"/>
          <w14:textFill>
            <w14:solidFill>
              <w14:schemeClr w14:val="tx1"/>
            </w14:solidFill>
          </w14:textFill>
        </w:rPr>
        <w:t>泗县电视台新虹桥至小汴河与新濉河交汇处</w:t>
      </w:r>
      <w:r>
        <w:rPr>
          <w:rFonts w:hint="eastAsia" w:eastAsiaTheme="minorEastAsia"/>
          <w:color w:val="000000" w:themeColor="text1"/>
          <w:sz w:val="28"/>
          <w:szCs w:val="28"/>
          <w14:textFill>
            <w14:solidFill>
              <w14:schemeClr w14:val="tx1"/>
            </w14:solidFill>
          </w14:textFill>
        </w:rPr>
        <w:t>的</w:t>
      </w:r>
      <w:r>
        <w:rPr>
          <w:color w:val="000000" w:themeColor="text1"/>
          <w:sz w:val="28"/>
          <w:szCs w:val="28"/>
          <w14:textFill>
            <w14:solidFill>
              <w14:schemeClr w14:val="tx1"/>
            </w14:solidFill>
          </w14:textFill>
        </w:rPr>
        <w:t>世界文化遗产保护。</w:t>
      </w:r>
      <w:r>
        <w:rPr>
          <w:rFonts w:hint="eastAsia"/>
          <w:color w:val="000000" w:themeColor="text1"/>
          <w:sz w:val="28"/>
          <w:szCs w:val="28"/>
          <w14:textFill>
            <w14:solidFill>
              <w14:schemeClr w14:val="tx1"/>
            </w14:solidFill>
          </w14:textFill>
        </w:rPr>
        <w:t>划定的</w:t>
      </w:r>
      <w:r>
        <w:rPr>
          <w:b/>
          <w:color w:val="000000" w:themeColor="text1"/>
          <w:sz w:val="28"/>
          <w:szCs w:val="28"/>
          <w14:textFill>
            <w14:solidFill>
              <w14:schemeClr w14:val="tx1"/>
            </w14:solidFill>
          </w14:textFill>
        </w:rPr>
        <w:t>核心监控区</w:t>
      </w:r>
      <w:r>
        <w:rPr>
          <w:color w:val="000000" w:themeColor="text1"/>
          <w:sz w:val="28"/>
          <w:szCs w:val="28"/>
          <w14:textFill>
            <w14:solidFill>
              <w14:schemeClr w14:val="tx1"/>
            </w14:solidFill>
          </w14:textFill>
        </w:rPr>
        <w:t>要纳入国土空间规划，实行负面清单准入管理，因地制宜制定禁止和限制发展产业目录，强化准入管理和底线约束，严禁新建扩建不利于生态环境保护的工矿企业等项目，限期拆除违规侵占运河河道本体和岸线的建（构）筑物，推动不符合生态环境保护和相关规划要求的已有项目和设施逐步搬离，原址恢复原状或进行合理绿化。</w:t>
      </w:r>
      <w:r>
        <w:rPr>
          <w:b/>
          <w:color w:val="000000" w:themeColor="text1"/>
          <w:sz w:val="28"/>
          <w:szCs w:val="28"/>
          <w14:textFill>
            <w14:solidFill>
              <w14:schemeClr w14:val="tx1"/>
            </w14:solidFill>
          </w14:textFill>
        </w:rPr>
        <w:t>核心监控区的非建成区</w:t>
      </w:r>
      <w:r>
        <w:rPr>
          <w:color w:val="000000" w:themeColor="text1"/>
          <w:sz w:val="28"/>
          <w:szCs w:val="28"/>
          <w14:textFill>
            <w14:solidFill>
              <w14:schemeClr w14:val="tx1"/>
            </w14:solidFill>
          </w14:textFill>
        </w:rPr>
        <w:t>严禁大规模新建扩建房地产、大型及特大型主题公园等开发项目，城市建成区老城改造按照高层禁建区管理，落实限高、限密度的具体要求，逐步改造与传统风貌不协调的建</w:t>
      </w:r>
      <w:r>
        <w:rPr>
          <w:rFonts w:hint="eastAsia"/>
          <w:color w:val="000000" w:themeColor="text1"/>
          <w:sz w:val="28"/>
          <w:szCs w:val="28"/>
          <w14:textFill>
            <w14:solidFill>
              <w14:schemeClr w14:val="tx1"/>
            </w14:solidFill>
          </w14:textFill>
        </w:rPr>
        <w:t>（</w:t>
      </w:r>
      <w:r>
        <w:rPr>
          <w:color w:val="000000" w:themeColor="text1"/>
          <w:sz w:val="28"/>
          <w:szCs w:val="28"/>
          <w14:textFill>
            <w14:solidFill>
              <w14:schemeClr w14:val="tx1"/>
            </w14:solidFill>
          </w14:textFill>
        </w:rPr>
        <w:t>构</w:t>
      </w:r>
      <w:r>
        <w:rPr>
          <w:rFonts w:hint="eastAsia"/>
          <w:color w:val="000000" w:themeColor="text1"/>
          <w:sz w:val="28"/>
          <w:szCs w:val="28"/>
          <w14:textFill>
            <w14:solidFill>
              <w14:schemeClr w14:val="tx1"/>
            </w14:solidFill>
          </w14:textFill>
        </w:rPr>
        <w:t>）</w:t>
      </w:r>
      <w:r>
        <w:rPr>
          <w:color w:val="000000" w:themeColor="text1"/>
          <w:sz w:val="28"/>
          <w:szCs w:val="28"/>
          <w14:textFill>
            <w14:solidFill>
              <w14:schemeClr w14:val="tx1"/>
            </w14:solidFill>
          </w14:textFill>
        </w:rPr>
        <w:t>筑物，控制城市景观视线走廊，限制各类用地调整为大型工商业项目、商务办公项目、住宅商品房、仓储物流设施等用地，整体保护大运河沿线空间形态。</w:t>
      </w:r>
    </w:p>
    <w:p>
      <w:pPr>
        <w:pStyle w:val="4"/>
        <w:spacing w:before="312" w:after="312"/>
        <w:rPr>
          <w:rFonts w:eastAsiaTheme="minorEastAsia"/>
        </w:rPr>
      </w:pPr>
      <w:bookmarkStart w:id="132" w:name="_Toc84536543"/>
      <w:r>
        <w:rPr>
          <w:rFonts w:hint="eastAsia" w:eastAsiaTheme="minorEastAsia"/>
        </w:rPr>
        <w:t>4.2 强化流域水污染防治</w:t>
      </w:r>
      <w:bookmarkEnd w:id="132"/>
    </w:p>
    <w:p>
      <w:pPr>
        <w:pStyle w:val="25"/>
        <w:spacing w:before="156" w:after="156"/>
        <w:ind w:left="0" w:leftChars="0"/>
      </w:pPr>
      <w:bookmarkStart w:id="133" w:name="_Toc84536544"/>
      <w:r>
        <w:rPr>
          <w:rFonts w:hint="eastAsia"/>
        </w:rPr>
        <w:t xml:space="preserve">4.2.1 </w:t>
      </w:r>
      <w:r>
        <w:rPr>
          <w:rFonts w:hint="eastAsia" w:asciiTheme="minorEastAsia" w:hAnsiTheme="minorEastAsia" w:eastAsiaTheme="minorEastAsia"/>
        </w:rPr>
        <w:t>加快推进城镇污水垃圾治理</w:t>
      </w:r>
      <w:bookmarkEnd w:id="133"/>
    </w:p>
    <w:p>
      <w:pPr>
        <w:spacing w:line="360" w:lineRule="auto"/>
        <w:ind w:firstLine="560" w:firstLineChars="200"/>
        <w:rPr>
          <w:sz w:val="28"/>
          <w:szCs w:val="28"/>
        </w:rPr>
      </w:pPr>
      <w:r>
        <w:rPr>
          <w:sz w:val="28"/>
          <w:szCs w:val="28"/>
        </w:rPr>
        <w:t>根据大运河水环境生态保护与修复专项规划要求，选择便于管理及维护、高效节能、经济合理的污水截流措施，确保污水截流效果。加强水质监测与水环境巡查。密切关注河流的水质、水量的变化情况，加大对主要入河排污口和控制断面的水质水情监测与巡查力度，对不达标的</w:t>
      </w:r>
      <w:r>
        <w:rPr>
          <w:rFonts w:hint="eastAsia"/>
          <w:sz w:val="28"/>
          <w:szCs w:val="28"/>
        </w:rPr>
        <w:t>河</w:t>
      </w:r>
      <w:r>
        <w:rPr>
          <w:sz w:val="28"/>
          <w:szCs w:val="28"/>
        </w:rPr>
        <w:t>段进行排查和修复，确保</w:t>
      </w:r>
      <w:r>
        <w:rPr>
          <w:rFonts w:hint="eastAsia"/>
          <w:sz w:val="28"/>
          <w:szCs w:val="28"/>
        </w:rPr>
        <w:t>泗县、灵璧县</w:t>
      </w:r>
      <w:r>
        <w:rPr>
          <w:sz w:val="28"/>
          <w:szCs w:val="28"/>
        </w:rPr>
        <w:t>城区水质良好。</w:t>
      </w:r>
      <w:r>
        <w:rPr>
          <w:rFonts w:hint="eastAsia"/>
          <w:sz w:val="28"/>
          <w:szCs w:val="28"/>
        </w:rPr>
        <w:t>泗县、灵璧县</w:t>
      </w:r>
      <w:r>
        <w:rPr>
          <w:sz w:val="28"/>
          <w:szCs w:val="28"/>
        </w:rPr>
        <w:t>城区沿岸铺设雨、污管网，但由于部分管道存在跑冒滴漏现象，流入大运河城区段，对水质产生污染。在大运河流域范围内，特别是沿河流域，对污、雨水管道进行整治，从而防止</w:t>
      </w:r>
      <w:r>
        <w:rPr>
          <w:rFonts w:hint="eastAsia"/>
          <w:sz w:val="28"/>
          <w:szCs w:val="28"/>
        </w:rPr>
        <w:t>泗县、灵璧县</w:t>
      </w:r>
      <w:r>
        <w:rPr>
          <w:sz w:val="28"/>
          <w:szCs w:val="28"/>
        </w:rPr>
        <w:t>城区段水质进一步恶化。</w:t>
      </w:r>
    </w:p>
    <w:p>
      <w:pPr>
        <w:spacing w:line="360" w:lineRule="auto"/>
        <w:jc w:val="center"/>
        <w:rPr>
          <w:b/>
          <w:bCs/>
          <w:sz w:val="24"/>
        </w:rPr>
      </w:pPr>
      <w:r>
        <w:rPr>
          <w:rFonts w:hint="eastAsia"/>
          <w:b/>
          <w:bCs/>
          <w:sz w:val="24"/>
        </w:rPr>
        <w:t>表4</w:t>
      </w:r>
      <w:r>
        <w:rPr>
          <w:b/>
          <w:bCs/>
          <w:sz w:val="24"/>
        </w:rPr>
        <w:t>-</w:t>
      </w:r>
      <w:r>
        <w:rPr>
          <w:rFonts w:hint="eastAsia"/>
          <w:b/>
          <w:bCs/>
          <w:sz w:val="24"/>
        </w:rPr>
        <w:t>4</w:t>
      </w:r>
      <w:r>
        <w:rPr>
          <w:b/>
          <w:bCs/>
          <w:sz w:val="24"/>
        </w:rPr>
        <w:t xml:space="preserve">  </w:t>
      </w:r>
      <w:r>
        <w:rPr>
          <w:rFonts w:hint="eastAsia"/>
          <w:b/>
          <w:bCs/>
          <w:sz w:val="24"/>
        </w:rPr>
        <w:t>大运河泗县城区</w:t>
      </w:r>
      <w:r>
        <w:rPr>
          <w:b/>
          <w:bCs/>
          <w:sz w:val="24"/>
        </w:rPr>
        <w:t>污水处理项目工程量表</w:t>
      </w:r>
    </w:p>
    <w:tbl>
      <w:tblPr>
        <w:tblStyle w:val="28"/>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8"/>
        <w:gridCol w:w="3479"/>
        <w:gridCol w:w="1324"/>
        <w:gridCol w:w="1022"/>
        <w:gridCol w:w="12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4" w:hRule="atLeast"/>
          <w:tblHeader/>
          <w:jc w:val="center"/>
        </w:trPr>
        <w:tc>
          <w:tcPr>
            <w:tcW w:w="1448" w:type="dxa"/>
            <w:vAlign w:val="center"/>
          </w:tcPr>
          <w:p>
            <w:pPr>
              <w:widowControl/>
              <w:jc w:val="center"/>
              <w:rPr>
                <w:rFonts w:eastAsiaTheme="minorEastAsia"/>
                <w:b/>
                <w:kern w:val="0"/>
                <w:sz w:val="24"/>
              </w:rPr>
            </w:pPr>
            <w:r>
              <w:rPr>
                <w:rFonts w:eastAsiaTheme="minorEastAsia"/>
                <w:b/>
                <w:kern w:val="0"/>
                <w:sz w:val="24"/>
              </w:rPr>
              <w:t>项目名称</w:t>
            </w:r>
          </w:p>
        </w:tc>
        <w:tc>
          <w:tcPr>
            <w:tcW w:w="3479" w:type="dxa"/>
            <w:vAlign w:val="center"/>
          </w:tcPr>
          <w:p>
            <w:pPr>
              <w:widowControl/>
              <w:jc w:val="center"/>
              <w:rPr>
                <w:rFonts w:eastAsiaTheme="minorEastAsia"/>
                <w:b/>
                <w:kern w:val="0"/>
                <w:sz w:val="24"/>
              </w:rPr>
            </w:pPr>
            <w:r>
              <w:rPr>
                <w:rFonts w:eastAsiaTheme="minorEastAsia"/>
                <w:b/>
                <w:kern w:val="0"/>
                <w:sz w:val="24"/>
              </w:rPr>
              <w:t>主要建设内容</w:t>
            </w:r>
          </w:p>
        </w:tc>
        <w:tc>
          <w:tcPr>
            <w:tcW w:w="1324" w:type="dxa"/>
            <w:vAlign w:val="center"/>
          </w:tcPr>
          <w:p>
            <w:pPr>
              <w:widowControl/>
              <w:jc w:val="center"/>
              <w:rPr>
                <w:rFonts w:eastAsiaTheme="minorEastAsia"/>
                <w:b/>
                <w:kern w:val="0"/>
                <w:sz w:val="24"/>
              </w:rPr>
            </w:pPr>
            <w:r>
              <w:rPr>
                <w:rFonts w:eastAsiaTheme="minorEastAsia"/>
                <w:b/>
                <w:kern w:val="0"/>
                <w:sz w:val="24"/>
              </w:rPr>
              <w:t>责任主体</w:t>
            </w:r>
          </w:p>
        </w:tc>
        <w:tc>
          <w:tcPr>
            <w:tcW w:w="1022" w:type="dxa"/>
            <w:vAlign w:val="center"/>
          </w:tcPr>
          <w:p>
            <w:pPr>
              <w:widowControl/>
              <w:jc w:val="center"/>
              <w:rPr>
                <w:rFonts w:eastAsiaTheme="minorEastAsia"/>
                <w:b/>
                <w:kern w:val="0"/>
                <w:sz w:val="24"/>
              </w:rPr>
            </w:pPr>
            <w:r>
              <w:rPr>
                <w:rFonts w:eastAsiaTheme="minorEastAsia"/>
                <w:b/>
                <w:kern w:val="0"/>
                <w:sz w:val="24"/>
              </w:rPr>
              <w:t>建成</w:t>
            </w:r>
          </w:p>
          <w:p>
            <w:pPr>
              <w:widowControl/>
              <w:jc w:val="center"/>
              <w:rPr>
                <w:rFonts w:eastAsiaTheme="minorEastAsia"/>
                <w:b/>
                <w:kern w:val="0"/>
                <w:sz w:val="24"/>
              </w:rPr>
            </w:pPr>
            <w:r>
              <w:rPr>
                <w:rFonts w:eastAsiaTheme="minorEastAsia"/>
                <w:b/>
                <w:kern w:val="0"/>
                <w:sz w:val="24"/>
              </w:rPr>
              <w:t>期限</w:t>
            </w:r>
          </w:p>
        </w:tc>
        <w:tc>
          <w:tcPr>
            <w:tcW w:w="1255" w:type="dxa"/>
            <w:vAlign w:val="center"/>
          </w:tcPr>
          <w:p>
            <w:pPr>
              <w:widowControl/>
              <w:jc w:val="center"/>
              <w:rPr>
                <w:rFonts w:ascii="宋体" w:hAnsi="宋体" w:cs="宋体"/>
                <w:b/>
                <w:bCs/>
                <w:color w:val="000000"/>
                <w:kern w:val="0"/>
                <w:sz w:val="24"/>
              </w:rPr>
            </w:pPr>
            <w:r>
              <w:rPr>
                <w:rFonts w:hint="eastAsia" w:ascii="宋体" w:hAnsi="宋体" w:cs="宋体"/>
                <w:b/>
                <w:bCs/>
                <w:color w:val="000000"/>
                <w:kern w:val="0"/>
                <w:sz w:val="24"/>
              </w:rPr>
              <w:t>投资金额</w:t>
            </w:r>
          </w:p>
          <w:p>
            <w:pPr>
              <w:widowControl/>
              <w:jc w:val="center"/>
              <w:rPr>
                <w:rFonts w:eastAsiaTheme="minorEastAsia"/>
                <w:b/>
                <w:kern w:val="0"/>
                <w:sz w:val="24"/>
              </w:rPr>
            </w:pPr>
            <w:r>
              <w:rPr>
                <w:rFonts w:hint="eastAsia" w:ascii="宋体" w:hAnsi="宋体" w:cs="宋体"/>
                <w:b/>
                <w:bCs/>
                <w:color w:val="000000"/>
                <w:kern w:val="0"/>
                <w:sz w:val="24"/>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 w:hRule="atLeast"/>
          <w:jc w:val="center"/>
        </w:trPr>
        <w:tc>
          <w:tcPr>
            <w:tcW w:w="1448" w:type="dxa"/>
            <w:vAlign w:val="center"/>
          </w:tcPr>
          <w:p>
            <w:pPr>
              <w:widowControl/>
              <w:jc w:val="center"/>
              <w:rPr>
                <w:rFonts w:eastAsiaTheme="minorEastAsia"/>
                <w:kern w:val="0"/>
                <w:sz w:val="24"/>
              </w:rPr>
            </w:pPr>
            <w:r>
              <w:rPr>
                <w:rFonts w:hint="eastAsia" w:eastAsiaTheme="minorEastAsia"/>
                <w:kern w:val="0"/>
                <w:sz w:val="24"/>
              </w:rPr>
              <w:t>泗县城区</w:t>
            </w:r>
            <w:r>
              <w:rPr>
                <w:rFonts w:eastAsiaTheme="minorEastAsia"/>
                <w:kern w:val="0"/>
                <w:sz w:val="24"/>
              </w:rPr>
              <w:t>雨水排污口整治</w:t>
            </w:r>
            <w:r>
              <w:rPr>
                <w:rFonts w:hint="eastAsia" w:eastAsiaTheme="minorEastAsia"/>
                <w:kern w:val="0"/>
                <w:sz w:val="24"/>
              </w:rPr>
              <w:t>工程</w:t>
            </w:r>
          </w:p>
        </w:tc>
        <w:tc>
          <w:tcPr>
            <w:tcW w:w="3479" w:type="dxa"/>
            <w:vAlign w:val="center"/>
          </w:tcPr>
          <w:p>
            <w:pPr>
              <w:widowControl/>
              <w:jc w:val="left"/>
              <w:rPr>
                <w:rFonts w:eastAsiaTheme="minorEastAsia"/>
                <w:kern w:val="0"/>
                <w:sz w:val="24"/>
              </w:rPr>
            </w:pPr>
            <w:r>
              <w:rPr>
                <w:rFonts w:eastAsiaTheme="minorEastAsia"/>
                <w:kern w:val="0"/>
                <w:sz w:val="24"/>
              </w:rPr>
              <w:t>规范沿岸污水排放，截污纳管，集中收集处置</w:t>
            </w:r>
          </w:p>
        </w:tc>
        <w:tc>
          <w:tcPr>
            <w:tcW w:w="1324" w:type="dxa"/>
            <w:vAlign w:val="center"/>
          </w:tcPr>
          <w:p>
            <w:pPr>
              <w:widowControl/>
              <w:jc w:val="center"/>
              <w:rPr>
                <w:rFonts w:eastAsiaTheme="minorEastAsia"/>
                <w:kern w:val="0"/>
                <w:sz w:val="24"/>
              </w:rPr>
            </w:pPr>
            <w:r>
              <w:rPr>
                <w:rFonts w:eastAsiaTheme="minorEastAsia"/>
                <w:kern w:val="0"/>
                <w:sz w:val="24"/>
              </w:rPr>
              <w:t>相关街道</w:t>
            </w:r>
          </w:p>
        </w:tc>
        <w:tc>
          <w:tcPr>
            <w:tcW w:w="1022" w:type="dxa"/>
            <w:vAlign w:val="center"/>
          </w:tcPr>
          <w:p>
            <w:pPr>
              <w:widowControl/>
              <w:jc w:val="center"/>
              <w:rPr>
                <w:rFonts w:eastAsiaTheme="minorEastAsia"/>
                <w:kern w:val="0"/>
                <w:sz w:val="24"/>
              </w:rPr>
            </w:pPr>
            <w:r>
              <w:rPr>
                <w:rFonts w:hint="eastAsia" w:eastAsiaTheme="minorEastAsia"/>
                <w:kern w:val="0"/>
                <w:sz w:val="24"/>
              </w:rPr>
              <w:t>2024</w:t>
            </w:r>
          </w:p>
        </w:tc>
        <w:tc>
          <w:tcPr>
            <w:tcW w:w="1255" w:type="dxa"/>
            <w:vAlign w:val="center"/>
          </w:tcPr>
          <w:p>
            <w:pPr>
              <w:widowControl/>
              <w:jc w:val="center"/>
              <w:rPr>
                <w:rFonts w:eastAsiaTheme="minorEastAsia"/>
                <w:kern w:val="0"/>
                <w:sz w:val="24"/>
              </w:rPr>
            </w:pPr>
            <w:r>
              <w:rPr>
                <w:rFonts w:hint="eastAsia" w:eastAsiaTheme="minorEastAsia"/>
                <w:kern w:val="0"/>
                <w:sz w:val="24"/>
              </w:rPr>
              <w:t>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03" w:hRule="atLeast"/>
          <w:jc w:val="center"/>
        </w:trPr>
        <w:tc>
          <w:tcPr>
            <w:tcW w:w="1448" w:type="dxa"/>
            <w:vAlign w:val="center"/>
          </w:tcPr>
          <w:p>
            <w:pPr>
              <w:widowControl/>
              <w:jc w:val="center"/>
              <w:rPr>
                <w:rFonts w:eastAsiaTheme="minorEastAsia"/>
                <w:kern w:val="0"/>
                <w:sz w:val="24"/>
              </w:rPr>
            </w:pPr>
            <w:r>
              <w:rPr>
                <w:rFonts w:hint="eastAsia" w:eastAsiaTheme="minorEastAsia"/>
                <w:kern w:val="0"/>
                <w:sz w:val="24"/>
              </w:rPr>
              <w:t>泗县段水质保护工程</w:t>
            </w:r>
          </w:p>
        </w:tc>
        <w:tc>
          <w:tcPr>
            <w:tcW w:w="3479" w:type="dxa"/>
            <w:vAlign w:val="center"/>
          </w:tcPr>
          <w:p>
            <w:pPr>
              <w:widowControl/>
              <w:jc w:val="left"/>
              <w:rPr>
                <w:rFonts w:eastAsiaTheme="minorEastAsia"/>
                <w:kern w:val="0"/>
                <w:sz w:val="24"/>
              </w:rPr>
            </w:pPr>
            <w:r>
              <w:rPr>
                <w:rFonts w:hint="eastAsia" w:eastAsiaTheme="minorEastAsia"/>
                <w:kern w:val="0"/>
                <w:sz w:val="24"/>
              </w:rPr>
              <w:t>采用砖混盖板涵收集大运河故道沿线居民生活污水及初期雨水，总长40 km，建设7处小规模污水处理设施进行加工处理；对城区段两岸仍存在有直排生活污水的居民小区实施污水管道改造，纳入城镇污水管网，改造污水管长15 km</w:t>
            </w:r>
          </w:p>
        </w:tc>
        <w:tc>
          <w:tcPr>
            <w:tcW w:w="1324" w:type="dxa"/>
            <w:vAlign w:val="center"/>
          </w:tcPr>
          <w:p>
            <w:pPr>
              <w:widowControl/>
              <w:jc w:val="center"/>
              <w:rPr>
                <w:rFonts w:eastAsiaTheme="minorEastAsia"/>
                <w:kern w:val="0"/>
                <w:sz w:val="24"/>
              </w:rPr>
            </w:pPr>
            <w:r>
              <w:rPr>
                <w:rFonts w:hint="eastAsia" w:eastAsiaTheme="minorEastAsia"/>
                <w:kern w:val="0"/>
                <w:sz w:val="24"/>
              </w:rPr>
              <w:t>泗县人民政府</w:t>
            </w:r>
          </w:p>
        </w:tc>
        <w:tc>
          <w:tcPr>
            <w:tcW w:w="1022" w:type="dxa"/>
            <w:vAlign w:val="center"/>
          </w:tcPr>
          <w:p>
            <w:pPr>
              <w:widowControl/>
              <w:jc w:val="center"/>
              <w:rPr>
                <w:rFonts w:eastAsiaTheme="minorEastAsia"/>
                <w:kern w:val="0"/>
                <w:sz w:val="24"/>
              </w:rPr>
            </w:pPr>
            <w:r>
              <w:rPr>
                <w:rFonts w:hint="eastAsia" w:eastAsiaTheme="minorEastAsia"/>
                <w:kern w:val="0"/>
                <w:sz w:val="24"/>
              </w:rPr>
              <w:t>2023</w:t>
            </w:r>
          </w:p>
        </w:tc>
        <w:tc>
          <w:tcPr>
            <w:tcW w:w="1255" w:type="dxa"/>
            <w:vAlign w:val="center"/>
          </w:tcPr>
          <w:p>
            <w:pPr>
              <w:widowControl/>
              <w:jc w:val="center"/>
              <w:rPr>
                <w:rFonts w:eastAsiaTheme="minorEastAsia"/>
                <w:kern w:val="0"/>
                <w:sz w:val="24"/>
              </w:rPr>
            </w:pPr>
            <w:r>
              <w:rPr>
                <w:rFonts w:hint="eastAsia" w:eastAsiaTheme="minorEastAsia"/>
                <w:kern w:val="0"/>
                <w:sz w:val="24"/>
              </w:rPr>
              <w:t>20000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09" w:hRule="atLeast"/>
          <w:jc w:val="center"/>
        </w:trPr>
        <w:tc>
          <w:tcPr>
            <w:tcW w:w="1448" w:type="dxa"/>
            <w:vAlign w:val="center"/>
          </w:tcPr>
          <w:p>
            <w:pPr>
              <w:widowControl/>
              <w:jc w:val="center"/>
              <w:rPr>
                <w:rFonts w:eastAsiaTheme="minorEastAsia"/>
                <w:kern w:val="0"/>
                <w:sz w:val="24"/>
              </w:rPr>
            </w:pPr>
            <w:r>
              <w:rPr>
                <w:rFonts w:hint="eastAsia" w:eastAsiaTheme="minorEastAsia"/>
                <w:kern w:val="0"/>
                <w:sz w:val="24"/>
              </w:rPr>
              <w:t>灵璧县中心城区污水管网完善及修复项目</w:t>
            </w:r>
          </w:p>
        </w:tc>
        <w:tc>
          <w:tcPr>
            <w:tcW w:w="3479" w:type="dxa"/>
            <w:vAlign w:val="center"/>
          </w:tcPr>
          <w:p>
            <w:pPr>
              <w:widowControl/>
              <w:jc w:val="left"/>
              <w:rPr>
                <w:rFonts w:eastAsiaTheme="minorEastAsia"/>
                <w:kern w:val="0"/>
                <w:sz w:val="24"/>
              </w:rPr>
            </w:pPr>
            <w:r>
              <w:rPr>
                <w:rFonts w:hint="eastAsia" w:eastAsiaTheme="minorEastAsia"/>
                <w:kern w:val="0"/>
                <w:sz w:val="24"/>
              </w:rPr>
              <w:t>项目分为两期实施，一期涉及17条主要道路，共修复新建污水管网47930.59 m；二期涉及16条主要道路，共修复及新建管网24644.39 m。</w:t>
            </w:r>
          </w:p>
        </w:tc>
        <w:tc>
          <w:tcPr>
            <w:tcW w:w="1324" w:type="dxa"/>
            <w:vAlign w:val="center"/>
          </w:tcPr>
          <w:p>
            <w:pPr>
              <w:widowControl/>
              <w:jc w:val="center"/>
              <w:rPr>
                <w:rFonts w:eastAsiaTheme="minorEastAsia"/>
                <w:kern w:val="0"/>
                <w:sz w:val="24"/>
              </w:rPr>
            </w:pPr>
            <w:r>
              <w:rPr>
                <w:rFonts w:hint="eastAsia" w:eastAsiaTheme="minorEastAsia"/>
                <w:kern w:val="0"/>
                <w:sz w:val="24"/>
              </w:rPr>
              <w:t>灵璧县人民政府</w:t>
            </w:r>
          </w:p>
        </w:tc>
        <w:tc>
          <w:tcPr>
            <w:tcW w:w="1022" w:type="dxa"/>
            <w:vAlign w:val="center"/>
          </w:tcPr>
          <w:p>
            <w:pPr>
              <w:widowControl/>
              <w:jc w:val="center"/>
              <w:rPr>
                <w:rFonts w:eastAsiaTheme="minorEastAsia"/>
                <w:kern w:val="0"/>
                <w:sz w:val="24"/>
              </w:rPr>
            </w:pPr>
            <w:r>
              <w:rPr>
                <w:rFonts w:hint="eastAsia" w:eastAsiaTheme="minorEastAsia"/>
                <w:kern w:val="0"/>
                <w:sz w:val="24"/>
              </w:rPr>
              <w:t>2025</w:t>
            </w:r>
          </w:p>
        </w:tc>
        <w:tc>
          <w:tcPr>
            <w:tcW w:w="1255" w:type="dxa"/>
            <w:vAlign w:val="center"/>
          </w:tcPr>
          <w:p>
            <w:pPr>
              <w:widowControl/>
              <w:jc w:val="center"/>
              <w:rPr>
                <w:rFonts w:eastAsiaTheme="minorEastAsia"/>
                <w:kern w:val="0"/>
                <w:sz w:val="24"/>
              </w:rPr>
            </w:pPr>
            <w:r>
              <w:rPr>
                <w:rFonts w:hint="eastAsia" w:eastAsiaTheme="minorEastAsia"/>
                <w:kern w:val="0"/>
                <w:sz w:val="24"/>
              </w:rPr>
              <w:t>29027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8" w:hRule="atLeast"/>
          <w:jc w:val="center"/>
        </w:trPr>
        <w:tc>
          <w:tcPr>
            <w:tcW w:w="7273" w:type="dxa"/>
            <w:gridSpan w:val="4"/>
            <w:vAlign w:val="center"/>
          </w:tcPr>
          <w:p>
            <w:pPr>
              <w:widowControl/>
              <w:jc w:val="center"/>
              <w:rPr>
                <w:rFonts w:eastAsiaTheme="minorEastAsia"/>
                <w:b/>
                <w:kern w:val="0"/>
                <w:sz w:val="24"/>
              </w:rPr>
            </w:pPr>
            <w:r>
              <w:rPr>
                <w:rFonts w:hint="eastAsia" w:eastAsiaTheme="minorEastAsia"/>
                <w:b/>
                <w:kern w:val="0"/>
                <w:sz w:val="24"/>
              </w:rPr>
              <w:t>合计</w:t>
            </w:r>
          </w:p>
        </w:tc>
        <w:tc>
          <w:tcPr>
            <w:tcW w:w="1255" w:type="dxa"/>
            <w:vAlign w:val="center"/>
          </w:tcPr>
          <w:p>
            <w:pPr>
              <w:widowControl/>
              <w:jc w:val="center"/>
              <w:rPr>
                <w:rFonts w:eastAsiaTheme="minorEastAsia"/>
                <w:kern w:val="0"/>
                <w:sz w:val="24"/>
              </w:rPr>
            </w:pPr>
            <w:r>
              <w:rPr>
                <w:rFonts w:hint="eastAsia" w:eastAsiaTheme="minorEastAsia"/>
                <w:kern w:val="0"/>
                <w:sz w:val="24"/>
              </w:rPr>
              <w:t>54027</w:t>
            </w:r>
          </w:p>
        </w:tc>
      </w:tr>
    </w:tbl>
    <w:p>
      <w:pPr>
        <w:jc w:val="center"/>
        <w:rPr>
          <w:sz w:val="24"/>
        </w:rPr>
      </w:pPr>
    </w:p>
    <w:p>
      <w:pPr>
        <w:pStyle w:val="25"/>
        <w:spacing w:before="156" w:after="156"/>
        <w:ind w:left="0" w:leftChars="0"/>
      </w:pPr>
      <w:bookmarkStart w:id="134" w:name="_Toc84536545"/>
      <w:r>
        <w:rPr>
          <w:rFonts w:hint="eastAsia"/>
        </w:rPr>
        <w:t>4.2.2 全面落实农村人居环境整治工作</w:t>
      </w:r>
      <w:bookmarkEnd w:id="134"/>
    </w:p>
    <w:p>
      <w:pPr>
        <w:pStyle w:val="6"/>
        <w:spacing w:before="62" w:after="62"/>
        <w:rPr>
          <w:rFonts w:ascii="Times New Roman" w:hAnsi="Times New Roman"/>
        </w:rPr>
      </w:pPr>
      <w:r>
        <w:rPr>
          <w:rFonts w:hint="eastAsia" w:ascii="Times New Roman" w:hAnsi="Times New Roman" w:eastAsiaTheme="minorEastAsia"/>
        </w:rPr>
        <w:t>4.2.2.1 推进农村生活污水治理</w:t>
      </w:r>
    </w:p>
    <w:p>
      <w:pPr>
        <w:spacing w:line="360" w:lineRule="auto"/>
        <w:ind w:firstLine="560" w:firstLineChars="200"/>
        <w:rPr>
          <w:sz w:val="28"/>
          <w:szCs w:val="28"/>
        </w:rPr>
      </w:pPr>
      <w:r>
        <w:rPr>
          <w:rFonts w:hint="eastAsia"/>
          <w:sz w:val="28"/>
          <w:szCs w:val="28"/>
        </w:rPr>
        <w:t>以农村生活污水治理为重点，大力推进农村环境综合整治。要从实际出发，因地制宜采用污染治理与资源利用相结合、工程措施与生态措施相结合、集中与分散相结合的建设模式和处理工艺。优先治理位于</w:t>
      </w:r>
      <w:r>
        <w:rPr>
          <w:sz w:val="28"/>
          <w:szCs w:val="28"/>
        </w:rPr>
        <w:t>运河宿州段活水区</w:t>
      </w:r>
      <w:r>
        <w:rPr>
          <w:rFonts w:hint="eastAsia"/>
          <w:sz w:val="28"/>
          <w:szCs w:val="28"/>
        </w:rPr>
        <w:t>内的村庄，</w:t>
      </w:r>
      <w:r>
        <w:rPr>
          <w:sz w:val="28"/>
          <w:szCs w:val="28"/>
        </w:rPr>
        <w:t>大运河宿州段活水区共涉及泗县的5个乡镇，分别为泗城镇、长沟镇、屏山镇、草庙镇、黑塔镇，其中泗城镇没有建设任务，污水纳入泗县污水处理厂处理，最终排入石梁河，本方案不在赘述。</w:t>
      </w:r>
      <w:r>
        <w:rPr>
          <w:rFonts w:hint="eastAsia"/>
          <w:sz w:val="28"/>
          <w:szCs w:val="28"/>
        </w:rPr>
        <w:t>随着社会和经济的发展，人口的不断增长，乡镇污水处理厂的处理规模将不再满足人们的需求。</w:t>
      </w:r>
      <w:r>
        <w:rPr>
          <w:sz w:val="28"/>
          <w:szCs w:val="28"/>
        </w:rPr>
        <w:t>本方案计划对长沟镇、屏山镇、草庙镇、黑塔镇这4个乡镇的乡镇污水处理厂进行提标改造，工程量如表4-</w:t>
      </w:r>
      <w:r>
        <w:rPr>
          <w:rFonts w:hint="eastAsia"/>
          <w:sz w:val="28"/>
          <w:szCs w:val="28"/>
        </w:rPr>
        <w:t>5、4-6</w:t>
      </w:r>
      <w:r>
        <w:rPr>
          <w:sz w:val="28"/>
          <w:szCs w:val="28"/>
        </w:rPr>
        <w:t>所示。</w:t>
      </w:r>
    </w:p>
    <w:p>
      <w:pPr>
        <w:spacing w:line="360" w:lineRule="auto"/>
        <w:jc w:val="center"/>
        <w:rPr>
          <w:b/>
          <w:bCs/>
          <w:sz w:val="24"/>
        </w:rPr>
      </w:pPr>
    </w:p>
    <w:p>
      <w:pPr>
        <w:spacing w:line="360" w:lineRule="auto"/>
        <w:jc w:val="center"/>
        <w:rPr>
          <w:b/>
          <w:bCs/>
          <w:sz w:val="24"/>
        </w:rPr>
      </w:pPr>
      <w:r>
        <w:rPr>
          <w:b/>
          <w:bCs/>
          <w:sz w:val="24"/>
        </w:rPr>
        <w:t>表</w:t>
      </w:r>
      <w:r>
        <w:rPr>
          <w:rFonts w:hint="eastAsia"/>
          <w:b/>
          <w:bCs/>
          <w:sz w:val="24"/>
        </w:rPr>
        <w:t>4-5</w:t>
      </w:r>
      <w:r>
        <w:rPr>
          <w:b/>
          <w:bCs/>
          <w:sz w:val="24"/>
        </w:rPr>
        <w:t xml:space="preserve">  </w:t>
      </w:r>
      <w:r>
        <w:rPr>
          <w:rFonts w:hint="eastAsia"/>
          <w:b/>
          <w:bCs/>
          <w:sz w:val="24"/>
        </w:rPr>
        <w:t>集中式污水处理工程建设信息一览表</w:t>
      </w:r>
    </w:p>
    <w:tbl>
      <w:tblPr>
        <w:tblStyle w:val="28"/>
        <w:tblW w:w="8528" w:type="dxa"/>
        <w:jc w:val="center"/>
        <w:tblInd w:w="0" w:type="dxa"/>
        <w:tblLayout w:type="fixed"/>
        <w:tblCellMar>
          <w:top w:w="0" w:type="dxa"/>
          <w:left w:w="108" w:type="dxa"/>
          <w:bottom w:w="0" w:type="dxa"/>
          <w:right w:w="108" w:type="dxa"/>
        </w:tblCellMar>
      </w:tblPr>
      <w:tblGrid>
        <w:gridCol w:w="700"/>
        <w:gridCol w:w="937"/>
        <w:gridCol w:w="700"/>
        <w:gridCol w:w="1173"/>
        <w:gridCol w:w="1276"/>
        <w:gridCol w:w="1276"/>
        <w:gridCol w:w="1134"/>
        <w:gridCol w:w="1332"/>
      </w:tblGrid>
      <w:tr>
        <w:tblPrEx>
          <w:tblLayout w:type="fixed"/>
          <w:tblCellMar>
            <w:top w:w="0" w:type="dxa"/>
            <w:left w:w="108" w:type="dxa"/>
            <w:bottom w:w="0" w:type="dxa"/>
            <w:right w:w="108" w:type="dxa"/>
          </w:tblCellMar>
        </w:tblPrEx>
        <w:trPr>
          <w:trHeight w:val="454" w:hRule="atLeast"/>
          <w:jc w:val="center"/>
        </w:trPr>
        <w:tc>
          <w:tcPr>
            <w:tcW w:w="70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b/>
                <w:bCs/>
                <w:color w:val="000000"/>
                <w:kern w:val="0"/>
                <w:sz w:val="24"/>
              </w:rPr>
            </w:pPr>
            <w:r>
              <w:rPr>
                <w:b/>
                <w:bCs/>
                <w:color w:val="000000"/>
                <w:kern w:val="0"/>
                <w:sz w:val="24"/>
              </w:rPr>
              <w:t>序号</w:t>
            </w:r>
          </w:p>
        </w:tc>
        <w:tc>
          <w:tcPr>
            <w:tcW w:w="937"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bCs/>
                <w:color w:val="000000"/>
                <w:kern w:val="0"/>
                <w:sz w:val="24"/>
              </w:rPr>
            </w:pPr>
            <w:r>
              <w:rPr>
                <w:b/>
                <w:bCs/>
                <w:color w:val="000000"/>
                <w:kern w:val="0"/>
                <w:sz w:val="24"/>
              </w:rPr>
              <w:t>名称</w:t>
            </w:r>
          </w:p>
        </w:tc>
        <w:tc>
          <w:tcPr>
            <w:tcW w:w="700"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bCs/>
                <w:color w:val="000000"/>
                <w:kern w:val="0"/>
                <w:sz w:val="24"/>
              </w:rPr>
            </w:pPr>
            <w:r>
              <w:rPr>
                <w:b/>
                <w:bCs/>
                <w:color w:val="000000"/>
                <w:kern w:val="0"/>
                <w:sz w:val="24"/>
              </w:rPr>
              <w:t>性质</w:t>
            </w:r>
          </w:p>
        </w:tc>
        <w:tc>
          <w:tcPr>
            <w:tcW w:w="1173" w:type="dxa"/>
            <w:tcBorders>
              <w:top w:val="single" w:color="auto" w:sz="4" w:space="0"/>
              <w:left w:val="nil"/>
              <w:bottom w:val="single" w:color="auto"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规模</w:t>
            </w:r>
          </w:p>
          <w:p>
            <w:pPr>
              <w:widowControl/>
              <w:jc w:val="center"/>
              <w:rPr>
                <w:b/>
                <w:bCs/>
                <w:color w:val="000000"/>
                <w:kern w:val="0"/>
                <w:sz w:val="24"/>
              </w:rPr>
            </w:pPr>
            <w:r>
              <w:rPr>
                <w:rFonts w:hint="eastAsia"/>
                <w:b/>
                <w:bCs/>
                <w:color w:val="000000"/>
                <w:kern w:val="0"/>
                <w:sz w:val="24"/>
              </w:rPr>
              <w:t>（</w:t>
            </w:r>
            <w:r>
              <w:rPr>
                <w:b/>
                <w:bCs/>
                <w:color w:val="000000"/>
                <w:kern w:val="0"/>
                <w:sz w:val="24"/>
              </w:rPr>
              <w:t>m</w:t>
            </w:r>
            <w:r>
              <w:rPr>
                <w:b/>
                <w:bCs/>
                <w:color w:val="000000"/>
                <w:kern w:val="0"/>
                <w:sz w:val="24"/>
                <w:vertAlign w:val="superscript"/>
              </w:rPr>
              <w:t>3</w:t>
            </w:r>
            <w:r>
              <w:rPr>
                <w:b/>
                <w:bCs/>
                <w:color w:val="000000"/>
                <w:kern w:val="0"/>
                <w:sz w:val="24"/>
              </w:rPr>
              <w:t>/d</w:t>
            </w:r>
            <w:r>
              <w:rPr>
                <w:rFonts w:hint="eastAsia"/>
                <w:b/>
                <w:bCs/>
                <w:color w:val="000000"/>
                <w:kern w:val="0"/>
                <w:sz w:val="24"/>
              </w:rPr>
              <w:t>）</w:t>
            </w:r>
          </w:p>
        </w:tc>
        <w:tc>
          <w:tcPr>
            <w:tcW w:w="127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bCs/>
                <w:color w:val="000000"/>
                <w:kern w:val="0"/>
                <w:sz w:val="24"/>
              </w:rPr>
            </w:pPr>
            <w:r>
              <w:rPr>
                <w:b/>
                <w:bCs/>
                <w:color w:val="000000"/>
                <w:kern w:val="0"/>
                <w:sz w:val="24"/>
              </w:rPr>
              <w:t>排放标准</w:t>
            </w:r>
          </w:p>
        </w:tc>
        <w:tc>
          <w:tcPr>
            <w:tcW w:w="1276" w:type="dxa"/>
            <w:tcBorders>
              <w:top w:val="single" w:color="auto" w:sz="4" w:space="0"/>
              <w:left w:val="nil"/>
              <w:bottom w:val="single" w:color="auto"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配套管网</w:t>
            </w:r>
            <w:r>
              <w:rPr>
                <w:b/>
                <w:bCs/>
                <w:color w:val="000000"/>
                <w:kern w:val="0"/>
                <w:sz w:val="24"/>
              </w:rPr>
              <w:br w:type="textWrapping"/>
            </w:r>
            <w:r>
              <w:rPr>
                <w:b/>
                <w:bCs/>
                <w:color w:val="000000"/>
                <w:kern w:val="0"/>
                <w:sz w:val="24"/>
              </w:rPr>
              <w:t>（km）</w:t>
            </w:r>
          </w:p>
        </w:tc>
        <w:tc>
          <w:tcPr>
            <w:tcW w:w="1134"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bCs/>
                <w:color w:val="000000"/>
                <w:kern w:val="0"/>
                <w:sz w:val="24"/>
              </w:rPr>
            </w:pPr>
            <w:r>
              <w:rPr>
                <w:b/>
                <w:bCs/>
                <w:color w:val="000000"/>
                <w:kern w:val="0"/>
                <w:sz w:val="24"/>
              </w:rPr>
              <w:t>完成</w:t>
            </w:r>
          </w:p>
          <w:p>
            <w:pPr>
              <w:widowControl/>
              <w:jc w:val="center"/>
              <w:rPr>
                <w:b/>
                <w:bCs/>
                <w:color w:val="000000"/>
                <w:kern w:val="0"/>
                <w:sz w:val="24"/>
              </w:rPr>
            </w:pPr>
            <w:r>
              <w:rPr>
                <w:b/>
                <w:bCs/>
                <w:color w:val="000000"/>
                <w:kern w:val="0"/>
                <w:sz w:val="24"/>
              </w:rPr>
              <w:t>期限</w:t>
            </w:r>
          </w:p>
        </w:tc>
        <w:tc>
          <w:tcPr>
            <w:tcW w:w="1332" w:type="dxa"/>
            <w:tcBorders>
              <w:top w:val="single" w:color="auto" w:sz="4" w:space="0"/>
              <w:left w:val="nil"/>
              <w:bottom w:val="single" w:color="auto"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投资金额</w:t>
            </w:r>
            <w:r>
              <w:rPr>
                <w:b/>
                <w:bCs/>
                <w:color w:val="000000"/>
                <w:kern w:val="0"/>
                <w:sz w:val="24"/>
              </w:rPr>
              <w:br w:type="textWrapping"/>
            </w:r>
            <w:r>
              <w:rPr>
                <w:b/>
                <w:bCs/>
                <w:color w:val="000000"/>
                <w:kern w:val="0"/>
                <w:sz w:val="24"/>
              </w:rPr>
              <w:t>（万元）</w:t>
            </w:r>
          </w:p>
        </w:tc>
      </w:tr>
      <w:tr>
        <w:tblPrEx>
          <w:tblLayout w:type="fixed"/>
          <w:tblCellMar>
            <w:top w:w="0" w:type="dxa"/>
            <w:left w:w="108" w:type="dxa"/>
            <w:bottom w:w="0" w:type="dxa"/>
            <w:right w:w="108" w:type="dxa"/>
          </w:tblCellMar>
        </w:tblPrEx>
        <w:trPr>
          <w:trHeight w:val="471" w:hRule="atLeast"/>
          <w:jc w:val="center"/>
        </w:trPr>
        <w:tc>
          <w:tcPr>
            <w:tcW w:w="70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1</w:t>
            </w:r>
          </w:p>
        </w:tc>
        <w:tc>
          <w:tcPr>
            <w:tcW w:w="937"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草庙镇</w:t>
            </w:r>
          </w:p>
        </w:tc>
        <w:tc>
          <w:tcPr>
            <w:tcW w:w="700"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扩建</w:t>
            </w:r>
          </w:p>
        </w:tc>
        <w:tc>
          <w:tcPr>
            <w:tcW w:w="1173"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100</w:t>
            </w:r>
          </w:p>
        </w:tc>
        <w:tc>
          <w:tcPr>
            <w:tcW w:w="1276"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一级A</w:t>
            </w:r>
          </w:p>
        </w:tc>
        <w:tc>
          <w:tcPr>
            <w:tcW w:w="1276"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3</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202</w:t>
            </w:r>
            <w:r>
              <w:rPr>
                <w:rFonts w:hint="eastAsia"/>
                <w:color w:val="000000"/>
                <w:kern w:val="0"/>
                <w:sz w:val="24"/>
              </w:rPr>
              <w:t>3</w:t>
            </w:r>
          </w:p>
        </w:tc>
        <w:tc>
          <w:tcPr>
            <w:tcW w:w="1332"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200</w:t>
            </w:r>
          </w:p>
        </w:tc>
      </w:tr>
      <w:tr>
        <w:tblPrEx>
          <w:tblLayout w:type="fixed"/>
          <w:tblCellMar>
            <w:top w:w="0" w:type="dxa"/>
            <w:left w:w="108" w:type="dxa"/>
            <w:bottom w:w="0" w:type="dxa"/>
            <w:right w:w="108" w:type="dxa"/>
          </w:tblCellMar>
        </w:tblPrEx>
        <w:trPr>
          <w:trHeight w:val="568" w:hRule="atLeast"/>
          <w:jc w:val="center"/>
        </w:trPr>
        <w:tc>
          <w:tcPr>
            <w:tcW w:w="70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2</w:t>
            </w:r>
          </w:p>
        </w:tc>
        <w:tc>
          <w:tcPr>
            <w:tcW w:w="937"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黑塔镇</w:t>
            </w:r>
          </w:p>
        </w:tc>
        <w:tc>
          <w:tcPr>
            <w:tcW w:w="700"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扩建</w:t>
            </w:r>
          </w:p>
        </w:tc>
        <w:tc>
          <w:tcPr>
            <w:tcW w:w="1173"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0</w:t>
            </w:r>
          </w:p>
        </w:tc>
        <w:tc>
          <w:tcPr>
            <w:tcW w:w="1276"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一级A</w:t>
            </w:r>
          </w:p>
        </w:tc>
        <w:tc>
          <w:tcPr>
            <w:tcW w:w="1276"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6</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202</w:t>
            </w:r>
            <w:r>
              <w:rPr>
                <w:rFonts w:hint="eastAsia"/>
                <w:color w:val="000000"/>
                <w:kern w:val="0"/>
                <w:sz w:val="24"/>
              </w:rPr>
              <w:t>3</w:t>
            </w:r>
          </w:p>
        </w:tc>
        <w:tc>
          <w:tcPr>
            <w:tcW w:w="1332"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450</w:t>
            </w:r>
          </w:p>
        </w:tc>
      </w:tr>
      <w:tr>
        <w:tblPrEx>
          <w:tblLayout w:type="fixed"/>
          <w:tblCellMar>
            <w:top w:w="0" w:type="dxa"/>
            <w:left w:w="108" w:type="dxa"/>
            <w:bottom w:w="0" w:type="dxa"/>
            <w:right w:w="108" w:type="dxa"/>
          </w:tblCellMar>
        </w:tblPrEx>
        <w:trPr>
          <w:trHeight w:val="548" w:hRule="atLeast"/>
          <w:jc w:val="center"/>
        </w:trPr>
        <w:tc>
          <w:tcPr>
            <w:tcW w:w="70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3</w:t>
            </w:r>
          </w:p>
        </w:tc>
        <w:tc>
          <w:tcPr>
            <w:tcW w:w="937"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屏山镇</w:t>
            </w:r>
          </w:p>
        </w:tc>
        <w:tc>
          <w:tcPr>
            <w:tcW w:w="700"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扩建</w:t>
            </w:r>
          </w:p>
        </w:tc>
        <w:tc>
          <w:tcPr>
            <w:tcW w:w="1173"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1600</w:t>
            </w:r>
          </w:p>
        </w:tc>
        <w:tc>
          <w:tcPr>
            <w:tcW w:w="1276"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一级A</w:t>
            </w:r>
          </w:p>
        </w:tc>
        <w:tc>
          <w:tcPr>
            <w:tcW w:w="1276"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9</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202</w:t>
            </w:r>
            <w:r>
              <w:rPr>
                <w:rFonts w:hint="eastAsia"/>
                <w:color w:val="000000"/>
                <w:kern w:val="0"/>
                <w:sz w:val="24"/>
              </w:rPr>
              <w:t>3</w:t>
            </w:r>
          </w:p>
        </w:tc>
        <w:tc>
          <w:tcPr>
            <w:tcW w:w="1332"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1500</w:t>
            </w:r>
          </w:p>
        </w:tc>
      </w:tr>
      <w:tr>
        <w:tblPrEx>
          <w:tblLayout w:type="fixed"/>
          <w:tblCellMar>
            <w:top w:w="0" w:type="dxa"/>
            <w:left w:w="108" w:type="dxa"/>
            <w:bottom w:w="0" w:type="dxa"/>
            <w:right w:w="108" w:type="dxa"/>
          </w:tblCellMar>
        </w:tblPrEx>
        <w:trPr>
          <w:trHeight w:val="556" w:hRule="atLeast"/>
          <w:jc w:val="center"/>
        </w:trPr>
        <w:tc>
          <w:tcPr>
            <w:tcW w:w="700"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4</w:t>
            </w:r>
          </w:p>
        </w:tc>
        <w:tc>
          <w:tcPr>
            <w:tcW w:w="937"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长沟镇</w:t>
            </w:r>
          </w:p>
        </w:tc>
        <w:tc>
          <w:tcPr>
            <w:tcW w:w="700"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扩建</w:t>
            </w:r>
          </w:p>
        </w:tc>
        <w:tc>
          <w:tcPr>
            <w:tcW w:w="1173"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0</w:t>
            </w:r>
          </w:p>
        </w:tc>
        <w:tc>
          <w:tcPr>
            <w:tcW w:w="1276"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一级A</w:t>
            </w:r>
          </w:p>
        </w:tc>
        <w:tc>
          <w:tcPr>
            <w:tcW w:w="1276"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4</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202</w:t>
            </w:r>
            <w:r>
              <w:rPr>
                <w:rFonts w:hint="eastAsia"/>
                <w:color w:val="000000"/>
                <w:kern w:val="0"/>
                <w:sz w:val="24"/>
              </w:rPr>
              <w:t>3</w:t>
            </w:r>
          </w:p>
        </w:tc>
        <w:tc>
          <w:tcPr>
            <w:tcW w:w="1332"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220</w:t>
            </w:r>
          </w:p>
        </w:tc>
      </w:tr>
      <w:tr>
        <w:tblPrEx>
          <w:tblLayout w:type="fixed"/>
          <w:tblCellMar>
            <w:top w:w="0" w:type="dxa"/>
            <w:left w:w="108" w:type="dxa"/>
            <w:bottom w:w="0" w:type="dxa"/>
            <w:right w:w="108" w:type="dxa"/>
          </w:tblCellMar>
        </w:tblPrEx>
        <w:trPr>
          <w:trHeight w:val="454" w:hRule="atLeast"/>
          <w:jc w:val="center"/>
        </w:trPr>
        <w:tc>
          <w:tcPr>
            <w:tcW w:w="70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b/>
                <w:color w:val="000000"/>
                <w:kern w:val="0"/>
                <w:sz w:val="24"/>
              </w:rPr>
            </w:pPr>
            <w:r>
              <w:rPr>
                <w:b/>
                <w:color w:val="000000"/>
                <w:kern w:val="0"/>
                <w:sz w:val="24"/>
              </w:rPr>
              <w:t>合计</w:t>
            </w:r>
          </w:p>
        </w:tc>
        <w:tc>
          <w:tcPr>
            <w:tcW w:w="937"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color w:val="000000"/>
                <w:kern w:val="0"/>
                <w:sz w:val="24"/>
              </w:rPr>
            </w:pPr>
          </w:p>
        </w:tc>
        <w:tc>
          <w:tcPr>
            <w:tcW w:w="700"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color w:val="000000"/>
                <w:kern w:val="0"/>
                <w:sz w:val="24"/>
              </w:rPr>
            </w:pPr>
          </w:p>
        </w:tc>
        <w:tc>
          <w:tcPr>
            <w:tcW w:w="1173"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color w:val="000000"/>
                <w:kern w:val="0"/>
                <w:sz w:val="24"/>
              </w:rPr>
            </w:pPr>
            <w:r>
              <w:rPr>
                <w:b/>
                <w:color w:val="000000"/>
                <w:kern w:val="0"/>
                <w:sz w:val="24"/>
              </w:rPr>
              <w:t>1700</w:t>
            </w:r>
          </w:p>
        </w:tc>
        <w:tc>
          <w:tcPr>
            <w:tcW w:w="127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color w:val="000000"/>
                <w:kern w:val="0"/>
                <w:sz w:val="24"/>
              </w:rPr>
            </w:pPr>
          </w:p>
        </w:tc>
        <w:tc>
          <w:tcPr>
            <w:tcW w:w="127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color w:val="000000"/>
                <w:kern w:val="0"/>
                <w:sz w:val="24"/>
              </w:rPr>
            </w:pPr>
            <w:r>
              <w:rPr>
                <w:b/>
                <w:color w:val="000000"/>
                <w:kern w:val="0"/>
                <w:sz w:val="24"/>
              </w:rPr>
              <w:t>22</w:t>
            </w:r>
          </w:p>
        </w:tc>
        <w:tc>
          <w:tcPr>
            <w:tcW w:w="1134"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color w:val="000000"/>
                <w:kern w:val="0"/>
                <w:sz w:val="24"/>
              </w:rPr>
            </w:pPr>
          </w:p>
        </w:tc>
        <w:tc>
          <w:tcPr>
            <w:tcW w:w="1332"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color w:val="000000"/>
                <w:kern w:val="0"/>
                <w:sz w:val="24"/>
              </w:rPr>
            </w:pPr>
            <w:r>
              <w:rPr>
                <w:b/>
                <w:color w:val="000000"/>
                <w:kern w:val="0"/>
                <w:sz w:val="24"/>
              </w:rPr>
              <w:t>2370</w:t>
            </w:r>
          </w:p>
        </w:tc>
      </w:tr>
    </w:tbl>
    <w:p>
      <w:pPr>
        <w:spacing w:line="360" w:lineRule="auto"/>
        <w:jc w:val="left"/>
        <w:rPr>
          <w:sz w:val="24"/>
        </w:rPr>
      </w:pPr>
    </w:p>
    <w:p>
      <w:pPr>
        <w:spacing w:line="360" w:lineRule="auto"/>
        <w:jc w:val="center"/>
        <w:rPr>
          <w:b/>
          <w:bCs/>
          <w:sz w:val="24"/>
        </w:rPr>
      </w:pPr>
      <w:r>
        <w:rPr>
          <w:b/>
          <w:bCs/>
          <w:sz w:val="24"/>
        </w:rPr>
        <w:t>表</w:t>
      </w:r>
      <w:r>
        <w:rPr>
          <w:rFonts w:hint="eastAsia"/>
          <w:b/>
          <w:bCs/>
          <w:sz w:val="24"/>
        </w:rPr>
        <w:t xml:space="preserve">4-6 </w:t>
      </w:r>
      <w:r>
        <w:rPr>
          <w:b/>
          <w:bCs/>
          <w:sz w:val="24"/>
        </w:rPr>
        <w:t xml:space="preserve"> </w:t>
      </w:r>
      <w:r>
        <w:rPr>
          <w:rFonts w:hint="eastAsia"/>
          <w:b/>
          <w:bCs/>
          <w:sz w:val="24"/>
        </w:rPr>
        <w:t>分散式污水处理工程建设信息一览表</w:t>
      </w:r>
    </w:p>
    <w:tbl>
      <w:tblPr>
        <w:tblStyle w:val="28"/>
        <w:tblW w:w="8528" w:type="dxa"/>
        <w:tblInd w:w="0" w:type="dxa"/>
        <w:tblLayout w:type="fixed"/>
        <w:tblCellMar>
          <w:top w:w="0" w:type="dxa"/>
          <w:left w:w="108" w:type="dxa"/>
          <w:bottom w:w="0" w:type="dxa"/>
          <w:right w:w="108" w:type="dxa"/>
        </w:tblCellMar>
      </w:tblPr>
      <w:tblGrid>
        <w:gridCol w:w="724"/>
        <w:gridCol w:w="944"/>
        <w:gridCol w:w="756"/>
        <w:gridCol w:w="1086"/>
        <w:gridCol w:w="1276"/>
        <w:gridCol w:w="1276"/>
        <w:gridCol w:w="1134"/>
        <w:gridCol w:w="1332"/>
      </w:tblGrid>
      <w:tr>
        <w:tblPrEx>
          <w:tblLayout w:type="fixed"/>
          <w:tblCellMar>
            <w:top w:w="0" w:type="dxa"/>
            <w:left w:w="108" w:type="dxa"/>
            <w:bottom w:w="0" w:type="dxa"/>
            <w:right w:w="108" w:type="dxa"/>
          </w:tblCellMar>
        </w:tblPrEx>
        <w:trPr>
          <w:trHeight w:val="776" w:hRule="atLeast"/>
          <w:tblHeader/>
        </w:trPr>
        <w:tc>
          <w:tcPr>
            <w:tcW w:w="724"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b/>
                <w:bCs/>
                <w:color w:val="000000"/>
                <w:kern w:val="0"/>
                <w:sz w:val="24"/>
              </w:rPr>
            </w:pPr>
            <w:r>
              <w:rPr>
                <w:b/>
                <w:bCs/>
                <w:color w:val="000000"/>
                <w:kern w:val="0"/>
                <w:sz w:val="24"/>
              </w:rPr>
              <w:t>序号</w:t>
            </w:r>
          </w:p>
        </w:tc>
        <w:tc>
          <w:tcPr>
            <w:tcW w:w="944"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bCs/>
                <w:color w:val="000000"/>
                <w:kern w:val="0"/>
                <w:sz w:val="24"/>
              </w:rPr>
            </w:pPr>
            <w:r>
              <w:rPr>
                <w:b/>
                <w:bCs/>
                <w:color w:val="000000"/>
                <w:kern w:val="0"/>
                <w:sz w:val="24"/>
              </w:rPr>
              <w:t>名称</w:t>
            </w:r>
          </w:p>
        </w:tc>
        <w:tc>
          <w:tcPr>
            <w:tcW w:w="75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bCs/>
                <w:color w:val="000000"/>
                <w:kern w:val="0"/>
                <w:sz w:val="24"/>
              </w:rPr>
            </w:pPr>
            <w:r>
              <w:rPr>
                <w:b/>
                <w:bCs/>
                <w:color w:val="000000"/>
                <w:kern w:val="0"/>
                <w:sz w:val="24"/>
              </w:rPr>
              <w:t>性质</w:t>
            </w:r>
          </w:p>
        </w:tc>
        <w:tc>
          <w:tcPr>
            <w:tcW w:w="1086" w:type="dxa"/>
            <w:tcBorders>
              <w:top w:val="single" w:color="auto" w:sz="4" w:space="0"/>
              <w:left w:val="nil"/>
              <w:bottom w:val="single" w:color="auto"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规模</w:t>
            </w:r>
            <w:r>
              <w:rPr>
                <w:b/>
                <w:bCs/>
                <w:color w:val="000000"/>
                <w:kern w:val="0"/>
                <w:sz w:val="24"/>
              </w:rPr>
              <w:br w:type="textWrapping"/>
            </w:r>
            <w:r>
              <w:rPr>
                <w:rFonts w:hint="eastAsia"/>
                <w:b/>
                <w:bCs/>
                <w:color w:val="000000"/>
                <w:kern w:val="0"/>
                <w:sz w:val="24"/>
              </w:rPr>
              <w:t>（</w:t>
            </w:r>
            <w:r>
              <w:rPr>
                <w:b/>
                <w:bCs/>
                <w:color w:val="000000"/>
                <w:kern w:val="0"/>
                <w:sz w:val="24"/>
              </w:rPr>
              <w:t>m</w:t>
            </w:r>
            <w:r>
              <w:rPr>
                <w:b/>
                <w:bCs/>
                <w:color w:val="000000"/>
                <w:kern w:val="0"/>
                <w:sz w:val="24"/>
                <w:vertAlign w:val="superscript"/>
              </w:rPr>
              <w:t>3</w:t>
            </w:r>
            <w:r>
              <w:rPr>
                <w:b/>
                <w:bCs/>
                <w:color w:val="000000"/>
                <w:kern w:val="0"/>
                <w:sz w:val="24"/>
              </w:rPr>
              <w:t>/d</w:t>
            </w:r>
            <w:r>
              <w:rPr>
                <w:rFonts w:hint="eastAsia"/>
                <w:b/>
                <w:bCs/>
                <w:color w:val="000000"/>
                <w:kern w:val="0"/>
                <w:sz w:val="24"/>
              </w:rPr>
              <w:t>）</w:t>
            </w:r>
          </w:p>
        </w:tc>
        <w:tc>
          <w:tcPr>
            <w:tcW w:w="127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bCs/>
                <w:color w:val="000000"/>
                <w:kern w:val="0"/>
                <w:sz w:val="24"/>
              </w:rPr>
            </w:pPr>
            <w:r>
              <w:rPr>
                <w:b/>
                <w:bCs/>
                <w:color w:val="000000"/>
                <w:kern w:val="0"/>
                <w:sz w:val="24"/>
              </w:rPr>
              <w:t>排放标准</w:t>
            </w:r>
          </w:p>
        </w:tc>
        <w:tc>
          <w:tcPr>
            <w:tcW w:w="1276" w:type="dxa"/>
            <w:tcBorders>
              <w:top w:val="single" w:color="auto" w:sz="4" w:space="0"/>
              <w:left w:val="nil"/>
              <w:bottom w:val="single" w:color="auto"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配套管网</w:t>
            </w:r>
            <w:r>
              <w:rPr>
                <w:b/>
                <w:bCs/>
                <w:color w:val="000000"/>
                <w:kern w:val="0"/>
                <w:sz w:val="24"/>
              </w:rPr>
              <w:br w:type="textWrapping"/>
            </w:r>
            <w:r>
              <w:rPr>
                <w:b/>
                <w:bCs/>
                <w:color w:val="000000"/>
                <w:kern w:val="0"/>
                <w:sz w:val="24"/>
              </w:rPr>
              <w:t>（km）</w:t>
            </w:r>
          </w:p>
        </w:tc>
        <w:tc>
          <w:tcPr>
            <w:tcW w:w="1134"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bCs/>
                <w:color w:val="000000"/>
                <w:kern w:val="0"/>
                <w:sz w:val="24"/>
              </w:rPr>
            </w:pPr>
            <w:r>
              <w:rPr>
                <w:b/>
                <w:bCs/>
                <w:color w:val="000000"/>
                <w:kern w:val="0"/>
                <w:sz w:val="24"/>
              </w:rPr>
              <w:t>完成</w:t>
            </w:r>
          </w:p>
          <w:p>
            <w:pPr>
              <w:widowControl/>
              <w:jc w:val="center"/>
              <w:rPr>
                <w:b/>
                <w:bCs/>
                <w:color w:val="000000"/>
                <w:kern w:val="0"/>
                <w:sz w:val="24"/>
              </w:rPr>
            </w:pPr>
            <w:r>
              <w:rPr>
                <w:b/>
                <w:bCs/>
                <w:color w:val="000000"/>
                <w:kern w:val="0"/>
                <w:sz w:val="24"/>
              </w:rPr>
              <w:t>期限</w:t>
            </w:r>
          </w:p>
        </w:tc>
        <w:tc>
          <w:tcPr>
            <w:tcW w:w="1332" w:type="dxa"/>
            <w:tcBorders>
              <w:top w:val="single" w:color="auto" w:sz="4" w:space="0"/>
              <w:left w:val="nil"/>
              <w:bottom w:val="single" w:color="auto"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投资金额</w:t>
            </w:r>
            <w:r>
              <w:rPr>
                <w:b/>
                <w:bCs/>
                <w:color w:val="000000"/>
                <w:kern w:val="0"/>
                <w:sz w:val="24"/>
              </w:rPr>
              <w:br w:type="textWrapping"/>
            </w:r>
            <w:r>
              <w:rPr>
                <w:b/>
                <w:bCs/>
                <w:color w:val="000000"/>
                <w:kern w:val="0"/>
                <w:sz w:val="24"/>
              </w:rPr>
              <w:t>（万元）</w:t>
            </w:r>
          </w:p>
        </w:tc>
      </w:tr>
      <w:tr>
        <w:tblPrEx>
          <w:tblLayout w:type="fixed"/>
          <w:tblCellMar>
            <w:top w:w="0" w:type="dxa"/>
            <w:left w:w="108" w:type="dxa"/>
            <w:bottom w:w="0" w:type="dxa"/>
            <w:right w:w="108" w:type="dxa"/>
          </w:tblCellMar>
        </w:tblPrEx>
        <w:trPr>
          <w:trHeight w:val="607" w:hRule="atLeast"/>
        </w:trPr>
        <w:tc>
          <w:tcPr>
            <w:tcW w:w="724"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1</w:t>
            </w:r>
          </w:p>
        </w:tc>
        <w:tc>
          <w:tcPr>
            <w:tcW w:w="944"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草庙镇</w:t>
            </w:r>
          </w:p>
        </w:tc>
        <w:tc>
          <w:tcPr>
            <w:tcW w:w="756"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扩建</w:t>
            </w:r>
          </w:p>
        </w:tc>
        <w:tc>
          <w:tcPr>
            <w:tcW w:w="1086"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180</w:t>
            </w:r>
          </w:p>
        </w:tc>
        <w:tc>
          <w:tcPr>
            <w:tcW w:w="1276"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一级A</w:t>
            </w:r>
          </w:p>
        </w:tc>
        <w:tc>
          <w:tcPr>
            <w:tcW w:w="1276"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8</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20</w:t>
            </w:r>
            <w:r>
              <w:rPr>
                <w:rFonts w:hint="eastAsia"/>
                <w:color w:val="000000"/>
                <w:kern w:val="0"/>
                <w:sz w:val="24"/>
              </w:rPr>
              <w:t>23</w:t>
            </w:r>
          </w:p>
        </w:tc>
        <w:tc>
          <w:tcPr>
            <w:tcW w:w="1332"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200</w:t>
            </w:r>
          </w:p>
        </w:tc>
      </w:tr>
      <w:tr>
        <w:tblPrEx>
          <w:tblLayout w:type="fixed"/>
          <w:tblCellMar>
            <w:top w:w="0" w:type="dxa"/>
            <w:left w:w="108" w:type="dxa"/>
            <w:bottom w:w="0" w:type="dxa"/>
            <w:right w:w="108" w:type="dxa"/>
          </w:tblCellMar>
        </w:tblPrEx>
        <w:trPr>
          <w:trHeight w:val="559" w:hRule="atLeast"/>
        </w:trPr>
        <w:tc>
          <w:tcPr>
            <w:tcW w:w="724"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2</w:t>
            </w:r>
          </w:p>
        </w:tc>
        <w:tc>
          <w:tcPr>
            <w:tcW w:w="944"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黑塔镇</w:t>
            </w:r>
          </w:p>
        </w:tc>
        <w:tc>
          <w:tcPr>
            <w:tcW w:w="756"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扩建</w:t>
            </w:r>
          </w:p>
        </w:tc>
        <w:tc>
          <w:tcPr>
            <w:tcW w:w="1086"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600</w:t>
            </w:r>
          </w:p>
        </w:tc>
        <w:tc>
          <w:tcPr>
            <w:tcW w:w="1276"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一级A</w:t>
            </w:r>
          </w:p>
        </w:tc>
        <w:tc>
          <w:tcPr>
            <w:tcW w:w="1276"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25</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20</w:t>
            </w:r>
            <w:r>
              <w:rPr>
                <w:rFonts w:hint="eastAsia"/>
                <w:color w:val="000000"/>
                <w:kern w:val="0"/>
                <w:sz w:val="24"/>
              </w:rPr>
              <w:t>23</w:t>
            </w:r>
          </w:p>
        </w:tc>
        <w:tc>
          <w:tcPr>
            <w:tcW w:w="1332"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650</w:t>
            </w:r>
          </w:p>
        </w:tc>
      </w:tr>
      <w:tr>
        <w:tblPrEx>
          <w:tblLayout w:type="fixed"/>
          <w:tblCellMar>
            <w:top w:w="0" w:type="dxa"/>
            <w:left w:w="108" w:type="dxa"/>
            <w:bottom w:w="0" w:type="dxa"/>
            <w:right w:w="108" w:type="dxa"/>
          </w:tblCellMar>
        </w:tblPrEx>
        <w:trPr>
          <w:trHeight w:val="680" w:hRule="atLeast"/>
        </w:trPr>
        <w:tc>
          <w:tcPr>
            <w:tcW w:w="724"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3</w:t>
            </w:r>
          </w:p>
        </w:tc>
        <w:tc>
          <w:tcPr>
            <w:tcW w:w="944"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屏山镇</w:t>
            </w:r>
          </w:p>
        </w:tc>
        <w:tc>
          <w:tcPr>
            <w:tcW w:w="756"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扩建</w:t>
            </w:r>
          </w:p>
        </w:tc>
        <w:tc>
          <w:tcPr>
            <w:tcW w:w="1086"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750</w:t>
            </w:r>
          </w:p>
        </w:tc>
        <w:tc>
          <w:tcPr>
            <w:tcW w:w="1276"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一级A</w:t>
            </w:r>
          </w:p>
        </w:tc>
        <w:tc>
          <w:tcPr>
            <w:tcW w:w="1276"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32</w:t>
            </w:r>
          </w:p>
        </w:tc>
        <w:tc>
          <w:tcPr>
            <w:tcW w:w="1134"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20</w:t>
            </w:r>
            <w:r>
              <w:rPr>
                <w:rFonts w:hint="eastAsia"/>
                <w:color w:val="000000"/>
                <w:kern w:val="0"/>
                <w:sz w:val="24"/>
              </w:rPr>
              <w:t>23</w:t>
            </w:r>
          </w:p>
        </w:tc>
        <w:tc>
          <w:tcPr>
            <w:tcW w:w="1332" w:type="dxa"/>
            <w:tcBorders>
              <w:top w:val="nil"/>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800</w:t>
            </w:r>
          </w:p>
        </w:tc>
      </w:tr>
      <w:tr>
        <w:tblPrEx>
          <w:tblLayout w:type="fixed"/>
          <w:tblCellMar>
            <w:top w:w="0" w:type="dxa"/>
            <w:left w:w="108" w:type="dxa"/>
            <w:bottom w:w="0" w:type="dxa"/>
            <w:right w:w="108" w:type="dxa"/>
          </w:tblCellMar>
        </w:tblPrEx>
        <w:trPr>
          <w:trHeight w:val="704" w:hRule="atLeast"/>
        </w:trPr>
        <w:tc>
          <w:tcPr>
            <w:tcW w:w="724"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4</w:t>
            </w:r>
          </w:p>
        </w:tc>
        <w:tc>
          <w:tcPr>
            <w:tcW w:w="944"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长沟镇</w:t>
            </w:r>
          </w:p>
        </w:tc>
        <w:tc>
          <w:tcPr>
            <w:tcW w:w="75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扩建</w:t>
            </w:r>
          </w:p>
        </w:tc>
        <w:tc>
          <w:tcPr>
            <w:tcW w:w="108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360</w:t>
            </w:r>
          </w:p>
        </w:tc>
        <w:tc>
          <w:tcPr>
            <w:tcW w:w="127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一级A</w:t>
            </w:r>
          </w:p>
        </w:tc>
        <w:tc>
          <w:tcPr>
            <w:tcW w:w="127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15</w:t>
            </w:r>
          </w:p>
        </w:tc>
        <w:tc>
          <w:tcPr>
            <w:tcW w:w="1134"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20</w:t>
            </w:r>
            <w:r>
              <w:rPr>
                <w:rFonts w:hint="eastAsia"/>
                <w:color w:val="000000"/>
                <w:kern w:val="0"/>
                <w:sz w:val="24"/>
              </w:rPr>
              <w:t>23</w:t>
            </w:r>
          </w:p>
        </w:tc>
        <w:tc>
          <w:tcPr>
            <w:tcW w:w="1332"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375</w:t>
            </w:r>
          </w:p>
        </w:tc>
      </w:tr>
      <w:tr>
        <w:tblPrEx>
          <w:tblLayout w:type="fixed"/>
          <w:tblCellMar>
            <w:top w:w="0" w:type="dxa"/>
            <w:left w:w="108" w:type="dxa"/>
            <w:bottom w:w="0" w:type="dxa"/>
            <w:right w:w="108" w:type="dxa"/>
          </w:tblCellMar>
        </w:tblPrEx>
        <w:trPr>
          <w:trHeight w:val="454" w:hRule="atLeast"/>
        </w:trPr>
        <w:tc>
          <w:tcPr>
            <w:tcW w:w="724"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b/>
                <w:color w:val="000000"/>
                <w:kern w:val="0"/>
                <w:sz w:val="24"/>
              </w:rPr>
            </w:pPr>
            <w:r>
              <w:rPr>
                <w:b/>
                <w:color w:val="000000"/>
                <w:kern w:val="0"/>
                <w:sz w:val="24"/>
              </w:rPr>
              <w:t>合计</w:t>
            </w:r>
          </w:p>
        </w:tc>
        <w:tc>
          <w:tcPr>
            <w:tcW w:w="944"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color w:val="000000"/>
                <w:kern w:val="0"/>
                <w:sz w:val="24"/>
              </w:rPr>
            </w:pPr>
          </w:p>
        </w:tc>
        <w:tc>
          <w:tcPr>
            <w:tcW w:w="75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color w:val="000000"/>
                <w:kern w:val="0"/>
                <w:sz w:val="24"/>
              </w:rPr>
            </w:pPr>
          </w:p>
        </w:tc>
        <w:tc>
          <w:tcPr>
            <w:tcW w:w="108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color w:val="000000"/>
                <w:kern w:val="0"/>
                <w:sz w:val="24"/>
              </w:rPr>
            </w:pPr>
            <w:r>
              <w:rPr>
                <w:b/>
                <w:color w:val="000000"/>
                <w:kern w:val="0"/>
                <w:sz w:val="24"/>
              </w:rPr>
              <w:t>1890</w:t>
            </w:r>
          </w:p>
        </w:tc>
        <w:tc>
          <w:tcPr>
            <w:tcW w:w="127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color w:val="000000"/>
                <w:kern w:val="0"/>
                <w:sz w:val="24"/>
              </w:rPr>
            </w:pPr>
          </w:p>
        </w:tc>
        <w:tc>
          <w:tcPr>
            <w:tcW w:w="127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color w:val="000000"/>
                <w:kern w:val="0"/>
                <w:sz w:val="24"/>
              </w:rPr>
            </w:pPr>
            <w:r>
              <w:rPr>
                <w:b/>
                <w:color w:val="000000"/>
                <w:kern w:val="0"/>
                <w:sz w:val="24"/>
              </w:rPr>
              <w:t>80</w:t>
            </w:r>
          </w:p>
        </w:tc>
        <w:tc>
          <w:tcPr>
            <w:tcW w:w="1134"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color w:val="000000"/>
                <w:kern w:val="0"/>
                <w:sz w:val="24"/>
              </w:rPr>
            </w:pPr>
          </w:p>
        </w:tc>
        <w:tc>
          <w:tcPr>
            <w:tcW w:w="1332"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color w:val="000000"/>
                <w:kern w:val="0"/>
                <w:sz w:val="24"/>
              </w:rPr>
            </w:pPr>
            <w:r>
              <w:rPr>
                <w:b/>
                <w:color w:val="000000"/>
                <w:kern w:val="0"/>
                <w:sz w:val="24"/>
              </w:rPr>
              <w:t>2025</w:t>
            </w:r>
          </w:p>
        </w:tc>
      </w:tr>
    </w:tbl>
    <w:p>
      <w:pPr>
        <w:pStyle w:val="2"/>
        <w:spacing w:after="0" w:line="360" w:lineRule="auto"/>
        <w:ind w:left="0" w:leftChars="0" w:firstLine="420" w:firstLineChars="200"/>
        <w:rPr>
          <w:kern w:val="2"/>
          <w:sz w:val="21"/>
          <w:szCs w:val="28"/>
        </w:rPr>
      </w:pPr>
    </w:p>
    <w:p>
      <w:pPr>
        <w:pStyle w:val="6"/>
        <w:spacing w:before="62" w:after="62"/>
        <w:rPr>
          <w:rFonts w:ascii="Times New Roman" w:hAnsi="Times New Roman" w:eastAsiaTheme="minorEastAsia"/>
        </w:rPr>
      </w:pPr>
      <w:r>
        <w:rPr>
          <w:rFonts w:hint="eastAsia" w:ascii="Times New Roman" w:hAnsi="Times New Roman" w:eastAsiaTheme="minorEastAsia"/>
        </w:rPr>
        <w:t>4.2.2.2 大力发展生态农业</w:t>
      </w:r>
    </w:p>
    <w:p>
      <w:pPr>
        <w:adjustRightInd w:val="0"/>
        <w:spacing w:line="360" w:lineRule="auto"/>
        <w:ind w:firstLine="562" w:firstLineChars="200"/>
        <w:rPr>
          <w:b/>
          <w:bCs/>
          <w:sz w:val="28"/>
          <w:szCs w:val="28"/>
        </w:rPr>
      </w:pPr>
      <w:r>
        <w:rPr>
          <w:b/>
          <w:bCs/>
          <w:sz w:val="28"/>
          <w:szCs w:val="28"/>
        </w:rPr>
        <w:t>（1）农田径流污染控制</w:t>
      </w:r>
    </w:p>
    <w:p>
      <w:pPr>
        <w:adjustRightInd w:val="0"/>
        <w:spacing w:line="360" w:lineRule="auto"/>
        <w:ind w:firstLine="560" w:firstLineChars="200"/>
        <w:rPr>
          <w:rFonts w:eastAsia="仿宋"/>
          <w:sz w:val="28"/>
          <w:szCs w:val="28"/>
        </w:rPr>
      </w:pPr>
      <w:r>
        <w:rPr>
          <w:sz w:val="28"/>
          <w:szCs w:val="28"/>
        </w:rPr>
        <w:t>农田径流污染控制主要包括生态农业建设、坡耕地改造、水土保持、农田田间污染控制工程以及农田少肥管理等内容，由于农田径流面源污染，量大面广，污染控制是多项技术综合作用的结果，每项控制技术有它自身的内容，而不同区域情况又有所不同，故本实施方案只对重要方面提出要求。</w:t>
      </w:r>
    </w:p>
    <w:p>
      <w:pPr>
        <w:adjustRightInd w:val="0"/>
        <w:spacing w:line="360" w:lineRule="auto"/>
        <w:ind w:firstLine="562" w:firstLineChars="200"/>
        <w:rPr>
          <w:b/>
          <w:bCs/>
          <w:sz w:val="28"/>
          <w:szCs w:val="28"/>
        </w:rPr>
      </w:pPr>
      <w:r>
        <w:rPr>
          <w:b/>
          <w:bCs/>
          <w:sz w:val="28"/>
          <w:szCs w:val="28"/>
        </w:rPr>
        <w:t>（2）</w:t>
      </w:r>
      <w:r>
        <w:rPr>
          <w:rFonts w:hint="eastAsia"/>
          <w:b/>
          <w:bCs/>
          <w:sz w:val="28"/>
          <w:szCs w:val="28"/>
        </w:rPr>
        <w:t>生态农业发展</w:t>
      </w:r>
    </w:p>
    <w:p>
      <w:pPr>
        <w:adjustRightInd w:val="0"/>
        <w:spacing w:line="360" w:lineRule="auto"/>
        <w:ind w:firstLine="560" w:firstLineChars="200"/>
        <w:rPr>
          <w:sz w:val="28"/>
          <w:szCs w:val="28"/>
        </w:rPr>
      </w:pPr>
      <w:r>
        <w:rPr>
          <w:sz w:val="28"/>
          <w:szCs w:val="28"/>
        </w:rPr>
        <w:t>在流域内要大力发展生态农业，做到农作物秸秆</w:t>
      </w:r>
      <w:r>
        <w:rPr>
          <w:rFonts w:hint="eastAsia"/>
          <w:sz w:val="28"/>
          <w:szCs w:val="28"/>
        </w:rPr>
        <w:t>离</w:t>
      </w:r>
      <w:r>
        <w:rPr>
          <w:sz w:val="28"/>
          <w:szCs w:val="28"/>
        </w:rPr>
        <w:t>田，科学使用农药、化肥，推广高效、低毒农药并控制使用量。引进优良品种，调整优化种植、养殖结构，优化农业资源配置，推广节水农业灌溉技术等。</w:t>
      </w:r>
    </w:p>
    <w:p>
      <w:pPr>
        <w:adjustRightInd w:val="0"/>
        <w:spacing w:line="360" w:lineRule="auto"/>
        <w:ind w:firstLine="562" w:firstLineChars="200"/>
        <w:rPr>
          <w:b/>
          <w:bCs/>
          <w:sz w:val="28"/>
          <w:szCs w:val="28"/>
        </w:rPr>
      </w:pPr>
      <w:r>
        <w:rPr>
          <w:b/>
          <w:bCs/>
          <w:sz w:val="28"/>
          <w:szCs w:val="28"/>
        </w:rPr>
        <w:t>（</w:t>
      </w:r>
      <w:r>
        <w:rPr>
          <w:rFonts w:hint="eastAsia"/>
          <w:b/>
          <w:bCs/>
          <w:sz w:val="28"/>
          <w:szCs w:val="28"/>
        </w:rPr>
        <w:t>3</w:t>
      </w:r>
      <w:r>
        <w:rPr>
          <w:b/>
          <w:bCs/>
          <w:sz w:val="28"/>
          <w:szCs w:val="28"/>
        </w:rPr>
        <w:t>）水土保持农业技术</w:t>
      </w:r>
    </w:p>
    <w:p>
      <w:pPr>
        <w:adjustRightInd w:val="0"/>
        <w:spacing w:line="360" w:lineRule="auto"/>
        <w:ind w:firstLine="560" w:firstLineChars="200"/>
        <w:rPr>
          <w:sz w:val="28"/>
          <w:szCs w:val="28"/>
        </w:rPr>
      </w:pPr>
      <w:r>
        <w:rPr>
          <w:sz w:val="28"/>
          <w:szCs w:val="28"/>
        </w:rPr>
        <w:t>能有效保持水土的农业技术等高耕种、沟垄耕作、间作、套种和混种，改良轮作制度和草田轮作，深耕、中耕或少耕、免耕、收割留茬，增施肥料，改良土壤以及挑沙面等，流域各镇的农业技术推广站可根据当地自然环境和土壤性质，选择一种或多种技术经试点后推广使用。</w:t>
      </w:r>
    </w:p>
    <w:p>
      <w:pPr>
        <w:adjustRightInd w:val="0"/>
        <w:spacing w:line="360" w:lineRule="auto"/>
        <w:ind w:firstLine="562" w:firstLineChars="200"/>
        <w:rPr>
          <w:b/>
          <w:bCs/>
          <w:sz w:val="28"/>
          <w:szCs w:val="28"/>
        </w:rPr>
      </w:pPr>
      <w:r>
        <w:rPr>
          <w:b/>
          <w:bCs/>
          <w:sz w:val="28"/>
          <w:szCs w:val="28"/>
        </w:rPr>
        <w:t>（</w:t>
      </w:r>
      <w:r>
        <w:rPr>
          <w:rFonts w:hint="eastAsia"/>
          <w:b/>
          <w:bCs/>
          <w:sz w:val="28"/>
          <w:szCs w:val="28"/>
        </w:rPr>
        <w:t>4</w:t>
      </w:r>
      <w:r>
        <w:rPr>
          <w:b/>
          <w:bCs/>
          <w:sz w:val="28"/>
          <w:szCs w:val="28"/>
        </w:rPr>
        <w:t>）田间污染控制工程</w:t>
      </w:r>
    </w:p>
    <w:p>
      <w:pPr>
        <w:adjustRightInd w:val="0"/>
        <w:spacing w:line="360" w:lineRule="auto"/>
        <w:ind w:firstLine="560" w:firstLineChars="200"/>
        <w:rPr>
          <w:sz w:val="28"/>
          <w:szCs w:val="28"/>
        </w:rPr>
      </w:pPr>
      <w:r>
        <w:rPr>
          <w:sz w:val="28"/>
          <w:szCs w:val="28"/>
        </w:rPr>
        <w:t>减少农田径流对河流水质的污染，重要的是将农田污染物截留在田间地头，规划的水利控制工程包括修建田间沟渠、田间坑、水塘等，它们不但能起到蓄水、拦沙作用，同时对田间有机物起净化作用。</w:t>
      </w:r>
    </w:p>
    <w:p>
      <w:pPr>
        <w:adjustRightInd w:val="0"/>
        <w:spacing w:line="360" w:lineRule="auto"/>
        <w:ind w:firstLine="562" w:firstLineChars="200"/>
        <w:rPr>
          <w:b/>
          <w:bCs/>
          <w:sz w:val="28"/>
          <w:szCs w:val="28"/>
        </w:rPr>
      </w:pPr>
      <w:r>
        <w:rPr>
          <w:b/>
          <w:bCs/>
          <w:sz w:val="28"/>
          <w:szCs w:val="28"/>
        </w:rPr>
        <w:t>（</w:t>
      </w:r>
      <w:r>
        <w:rPr>
          <w:rFonts w:hint="eastAsia"/>
          <w:b/>
          <w:bCs/>
          <w:sz w:val="28"/>
          <w:szCs w:val="28"/>
        </w:rPr>
        <w:t>5</w:t>
      </w:r>
      <w:r>
        <w:rPr>
          <w:b/>
          <w:bCs/>
          <w:sz w:val="28"/>
          <w:szCs w:val="28"/>
        </w:rPr>
        <w:t>）农田少肥管理技术</w:t>
      </w:r>
    </w:p>
    <w:p>
      <w:pPr>
        <w:adjustRightInd w:val="0"/>
        <w:spacing w:line="360" w:lineRule="auto"/>
        <w:ind w:firstLine="560" w:firstLineChars="200"/>
        <w:rPr>
          <w:sz w:val="28"/>
          <w:szCs w:val="28"/>
        </w:rPr>
      </w:pPr>
      <w:r>
        <w:rPr>
          <w:sz w:val="28"/>
          <w:szCs w:val="28"/>
        </w:rPr>
        <w:t>农田少肥管理技术是农业管理的一项软技术，主要有：</w:t>
      </w:r>
    </w:p>
    <w:p>
      <w:pPr>
        <w:adjustRightInd w:val="0"/>
        <w:spacing w:line="360" w:lineRule="auto"/>
        <w:ind w:firstLine="560" w:firstLineChars="200"/>
        <w:rPr>
          <w:sz w:val="28"/>
          <w:szCs w:val="28"/>
        </w:rPr>
      </w:pPr>
      <w:r>
        <w:rPr>
          <w:sz w:val="28"/>
          <w:szCs w:val="28"/>
        </w:rPr>
        <w:t>1）合理使用田地，沿河岸边应划定一定区域范围种草种树，防治河岸坍塌，在山区平地上方以种植轻污染水稻为主，水田上方种植蔬菜。</w:t>
      </w:r>
    </w:p>
    <w:p>
      <w:pPr>
        <w:adjustRightInd w:val="0"/>
        <w:spacing w:line="360" w:lineRule="auto"/>
        <w:ind w:firstLine="560" w:firstLineChars="200"/>
        <w:rPr>
          <w:sz w:val="28"/>
          <w:szCs w:val="28"/>
        </w:rPr>
      </w:pPr>
      <w:r>
        <w:rPr>
          <w:sz w:val="28"/>
          <w:szCs w:val="28"/>
        </w:rPr>
        <w:t>2）优化水肥结构，提高农田水资源循环利用率，增加有机肥使用比例，控制化肥、农药施用量。</w:t>
      </w:r>
    </w:p>
    <w:p>
      <w:pPr>
        <w:adjustRightInd w:val="0"/>
        <w:spacing w:line="360" w:lineRule="auto"/>
        <w:ind w:firstLine="560" w:firstLineChars="200"/>
        <w:rPr>
          <w:sz w:val="28"/>
          <w:szCs w:val="28"/>
        </w:rPr>
      </w:pPr>
      <w:r>
        <w:rPr>
          <w:sz w:val="28"/>
          <w:szCs w:val="28"/>
        </w:rPr>
        <w:t>3）严格控制农药的使用推广生物治虫技术，从农药的采购、贮运、施用等一系列环节入手，切实控制农药污染。</w:t>
      </w:r>
    </w:p>
    <w:p>
      <w:pPr>
        <w:adjustRightInd w:val="0"/>
        <w:spacing w:line="360" w:lineRule="auto"/>
        <w:ind w:firstLine="560" w:firstLineChars="200"/>
        <w:rPr>
          <w:sz w:val="28"/>
          <w:szCs w:val="28"/>
        </w:rPr>
      </w:pPr>
      <w:r>
        <w:rPr>
          <w:sz w:val="28"/>
          <w:szCs w:val="28"/>
        </w:rPr>
        <w:t>4）建设优化配肥结构，生产各种专用肥料，科学施肥。</w:t>
      </w:r>
    </w:p>
    <w:p>
      <w:pPr>
        <w:adjustRightInd w:val="0"/>
        <w:spacing w:line="360" w:lineRule="auto"/>
        <w:ind w:firstLine="560" w:firstLineChars="200"/>
        <w:rPr>
          <w:sz w:val="28"/>
          <w:szCs w:val="28"/>
        </w:rPr>
      </w:pPr>
      <w:r>
        <w:rPr>
          <w:sz w:val="28"/>
          <w:szCs w:val="28"/>
        </w:rPr>
        <w:t>5</w:t>
      </w:r>
      <w:r>
        <w:rPr>
          <w:rFonts w:hint="eastAsia"/>
          <w:sz w:val="28"/>
          <w:szCs w:val="28"/>
        </w:rPr>
        <w:t>）</w:t>
      </w:r>
      <w:r>
        <w:rPr>
          <w:sz w:val="28"/>
          <w:szCs w:val="28"/>
        </w:rPr>
        <w:t>建立健全农业环境保护的法律法规体系，加强农业环保宣传，提高农民环保意识。</w:t>
      </w:r>
    </w:p>
    <w:p>
      <w:pPr>
        <w:adjustRightInd w:val="0"/>
        <w:spacing w:line="360" w:lineRule="auto"/>
        <w:ind w:firstLine="560" w:firstLineChars="200"/>
        <w:rPr>
          <w:sz w:val="28"/>
          <w:szCs w:val="28"/>
        </w:rPr>
      </w:pPr>
      <w:r>
        <w:rPr>
          <w:sz w:val="28"/>
          <w:szCs w:val="28"/>
        </w:rPr>
        <w:t>6）加强农业环境管理队伍建设，培养高素质的管理人员，促进农业环境保护工作的开展。</w:t>
      </w:r>
    </w:p>
    <w:p>
      <w:pPr>
        <w:pStyle w:val="4"/>
        <w:spacing w:before="312" w:after="312"/>
        <w:rPr>
          <w:rFonts w:eastAsiaTheme="minorEastAsia"/>
        </w:rPr>
      </w:pPr>
      <w:bookmarkStart w:id="135" w:name="_Toc84536546"/>
      <w:r>
        <w:rPr>
          <w:rFonts w:hint="eastAsia" w:eastAsiaTheme="minorEastAsia"/>
        </w:rPr>
        <w:t>4</w:t>
      </w:r>
      <w:r>
        <w:rPr>
          <w:rFonts w:hint="eastAsia"/>
        </w:rPr>
        <w:t>.</w:t>
      </w:r>
      <w:r>
        <w:rPr>
          <w:rFonts w:hint="eastAsia" w:eastAsiaTheme="minorEastAsia"/>
        </w:rPr>
        <w:t>3</w:t>
      </w:r>
      <w:r>
        <w:rPr>
          <w:rFonts w:hint="eastAsia"/>
        </w:rPr>
        <w:t xml:space="preserve"> </w:t>
      </w:r>
      <w:r>
        <w:rPr>
          <w:rFonts w:hint="eastAsia" w:asciiTheme="minorEastAsia" w:hAnsiTheme="minorEastAsia" w:eastAsiaTheme="minorEastAsia"/>
        </w:rPr>
        <w:t>推进河道水系治理管护</w:t>
      </w:r>
      <w:bookmarkEnd w:id="135"/>
    </w:p>
    <w:p>
      <w:pPr>
        <w:pStyle w:val="25"/>
        <w:spacing w:before="156" w:after="156"/>
        <w:ind w:left="0" w:leftChars="0"/>
      </w:pPr>
      <w:bookmarkStart w:id="136" w:name="_Toc84536547"/>
      <w:r>
        <w:rPr>
          <w:rFonts w:hint="eastAsia"/>
        </w:rPr>
        <w:t>4.3.1 改善现有水系连通性</w:t>
      </w:r>
      <w:bookmarkEnd w:id="136"/>
    </w:p>
    <w:p>
      <w:pPr>
        <w:spacing w:line="360" w:lineRule="auto"/>
        <w:ind w:firstLine="560" w:firstLineChars="200"/>
        <w:rPr>
          <w:rFonts w:eastAsiaTheme="minorEastAsia"/>
          <w:sz w:val="28"/>
          <w:szCs w:val="28"/>
        </w:rPr>
      </w:pPr>
      <w:r>
        <w:rPr>
          <w:rFonts w:hint="eastAsia" w:eastAsiaTheme="minorEastAsia"/>
          <w:sz w:val="28"/>
          <w:szCs w:val="28"/>
        </w:rPr>
        <w:t>通过加强淮水北调输水线路中的新汴河段等与运河有水河段的水系连通。实施汴石引河工程，通过引入新汴河优质水源，为有水河段的水生态修复和水环境改善提供支撑。</w:t>
      </w:r>
      <w:r>
        <w:rPr>
          <w:rFonts w:eastAsiaTheme="minorEastAsia"/>
          <w:sz w:val="28"/>
          <w:szCs w:val="28"/>
        </w:rPr>
        <w:t>具体工程量见表</w:t>
      </w:r>
      <w:r>
        <w:rPr>
          <w:rFonts w:hint="eastAsia" w:eastAsiaTheme="minorEastAsia"/>
          <w:sz w:val="28"/>
          <w:szCs w:val="28"/>
        </w:rPr>
        <w:t>4-7</w:t>
      </w:r>
      <w:r>
        <w:rPr>
          <w:rFonts w:eastAsiaTheme="minorEastAsia"/>
          <w:sz w:val="28"/>
          <w:szCs w:val="28"/>
        </w:rPr>
        <w:t>。</w:t>
      </w:r>
    </w:p>
    <w:p>
      <w:pPr>
        <w:spacing w:line="360" w:lineRule="auto"/>
        <w:jc w:val="center"/>
        <w:rPr>
          <w:b/>
          <w:bCs/>
          <w:sz w:val="24"/>
        </w:rPr>
      </w:pPr>
      <w:r>
        <w:rPr>
          <w:b/>
          <w:bCs/>
          <w:sz w:val="24"/>
        </w:rPr>
        <w:t>表</w:t>
      </w:r>
      <w:r>
        <w:rPr>
          <w:rFonts w:hint="eastAsia"/>
          <w:b/>
          <w:bCs/>
          <w:sz w:val="24"/>
        </w:rPr>
        <w:t>4-7  汴石引河</w:t>
      </w:r>
      <w:r>
        <w:rPr>
          <w:b/>
          <w:bCs/>
          <w:sz w:val="24"/>
        </w:rPr>
        <w:t>工程量表</w:t>
      </w:r>
    </w:p>
    <w:tbl>
      <w:tblPr>
        <w:tblStyle w:val="28"/>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3259"/>
        <w:gridCol w:w="1324"/>
        <w:gridCol w:w="1022"/>
        <w:gridCol w:w="12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90" w:hRule="atLeast"/>
          <w:jc w:val="center"/>
        </w:trPr>
        <w:tc>
          <w:tcPr>
            <w:tcW w:w="1668" w:type="dxa"/>
            <w:vAlign w:val="center"/>
          </w:tcPr>
          <w:p>
            <w:pPr>
              <w:widowControl/>
              <w:jc w:val="center"/>
              <w:rPr>
                <w:rFonts w:eastAsiaTheme="minorEastAsia"/>
                <w:b/>
                <w:kern w:val="0"/>
                <w:sz w:val="24"/>
              </w:rPr>
            </w:pPr>
            <w:r>
              <w:rPr>
                <w:rFonts w:eastAsiaTheme="minorEastAsia"/>
                <w:b/>
                <w:kern w:val="0"/>
                <w:sz w:val="24"/>
              </w:rPr>
              <w:t>项目名称</w:t>
            </w:r>
          </w:p>
        </w:tc>
        <w:tc>
          <w:tcPr>
            <w:tcW w:w="3259" w:type="dxa"/>
            <w:vAlign w:val="center"/>
          </w:tcPr>
          <w:p>
            <w:pPr>
              <w:widowControl/>
              <w:jc w:val="center"/>
              <w:rPr>
                <w:rFonts w:eastAsiaTheme="minorEastAsia"/>
                <w:b/>
                <w:kern w:val="0"/>
                <w:sz w:val="24"/>
              </w:rPr>
            </w:pPr>
            <w:r>
              <w:rPr>
                <w:rFonts w:eastAsiaTheme="minorEastAsia"/>
                <w:b/>
                <w:kern w:val="0"/>
                <w:sz w:val="24"/>
              </w:rPr>
              <w:t>主要建设内容</w:t>
            </w:r>
          </w:p>
        </w:tc>
        <w:tc>
          <w:tcPr>
            <w:tcW w:w="1324" w:type="dxa"/>
            <w:vAlign w:val="center"/>
          </w:tcPr>
          <w:p>
            <w:pPr>
              <w:widowControl/>
              <w:jc w:val="center"/>
              <w:rPr>
                <w:rFonts w:eastAsiaTheme="minorEastAsia"/>
                <w:b/>
                <w:kern w:val="0"/>
                <w:sz w:val="24"/>
              </w:rPr>
            </w:pPr>
            <w:r>
              <w:rPr>
                <w:rFonts w:eastAsiaTheme="minorEastAsia"/>
                <w:b/>
                <w:kern w:val="0"/>
                <w:sz w:val="24"/>
              </w:rPr>
              <w:t>责任主体</w:t>
            </w:r>
          </w:p>
        </w:tc>
        <w:tc>
          <w:tcPr>
            <w:tcW w:w="1022" w:type="dxa"/>
            <w:vAlign w:val="center"/>
          </w:tcPr>
          <w:p>
            <w:pPr>
              <w:widowControl/>
              <w:jc w:val="center"/>
              <w:rPr>
                <w:rFonts w:eastAsiaTheme="minorEastAsia"/>
                <w:b/>
                <w:kern w:val="0"/>
                <w:sz w:val="24"/>
              </w:rPr>
            </w:pPr>
            <w:r>
              <w:rPr>
                <w:rFonts w:eastAsiaTheme="minorEastAsia"/>
                <w:b/>
                <w:kern w:val="0"/>
                <w:sz w:val="24"/>
              </w:rPr>
              <w:t>建成</w:t>
            </w:r>
          </w:p>
          <w:p>
            <w:pPr>
              <w:widowControl/>
              <w:jc w:val="center"/>
              <w:rPr>
                <w:rFonts w:eastAsiaTheme="minorEastAsia"/>
                <w:b/>
                <w:kern w:val="0"/>
                <w:sz w:val="24"/>
              </w:rPr>
            </w:pPr>
            <w:r>
              <w:rPr>
                <w:rFonts w:eastAsiaTheme="minorEastAsia"/>
                <w:b/>
                <w:kern w:val="0"/>
                <w:sz w:val="24"/>
              </w:rPr>
              <w:t>期限</w:t>
            </w:r>
          </w:p>
        </w:tc>
        <w:tc>
          <w:tcPr>
            <w:tcW w:w="1255" w:type="dxa"/>
            <w:vAlign w:val="center"/>
          </w:tcPr>
          <w:p>
            <w:pPr>
              <w:widowControl/>
              <w:jc w:val="center"/>
              <w:rPr>
                <w:rFonts w:ascii="宋体" w:hAnsi="宋体" w:cs="宋体"/>
                <w:b/>
                <w:bCs/>
                <w:color w:val="000000"/>
                <w:kern w:val="0"/>
                <w:sz w:val="24"/>
              </w:rPr>
            </w:pPr>
            <w:r>
              <w:rPr>
                <w:rFonts w:hint="eastAsia" w:ascii="宋体" w:hAnsi="宋体" w:cs="宋体"/>
                <w:b/>
                <w:bCs/>
                <w:color w:val="000000"/>
                <w:kern w:val="0"/>
                <w:sz w:val="24"/>
              </w:rPr>
              <w:t>投资金额</w:t>
            </w:r>
          </w:p>
          <w:p>
            <w:pPr>
              <w:widowControl/>
              <w:jc w:val="center"/>
              <w:rPr>
                <w:rFonts w:eastAsiaTheme="minorEastAsia"/>
                <w:b/>
                <w:kern w:val="0"/>
                <w:sz w:val="24"/>
              </w:rPr>
            </w:pPr>
            <w:r>
              <w:rPr>
                <w:rFonts w:hint="eastAsia" w:ascii="宋体" w:hAnsi="宋体" w:cs="宋体"/>
                <w:b/>
                <w:bCs/>
                <w:color w:val="000000"/>
                <w:kern w:val="0"/>
                <w:sz w:val="24"/>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28" w:hRule="atLeast"/>
          <w:jc w:val="center"/>
        </w:trPr>
        <w:tc>
          <w:tcPr>
            <w:tcW w:w="1668" w:type="dxa"/>
            <w:vAlign w:val="center"/>
          </w:tcPr>
          <w:p>
            <w:pPr>
              <w:widowControl/>
              <w:jc w:val="center"/>
              <w:rPr>
                <w:rFonts w:eastAsiaTheme="minorEastAsia"/>
                <w:kern w:val="0"/>
                <w:sz w:val="24"/>
              </w:rPr>
            </w:pPr>
            <w:r>
              <w:rPr>
                <w:rFonts w:hint="eastAsia" w:eastAsiaTheme="minorEastAsia"/>
                <w:kern w:val="0"/>
                <w:sz w:val="24"/>
              </w:rPr>
              <w:t>汴石引河工程</w:t>
            </w:r>
          </w:p>
        </w:tc>
        <w:tc>
          <w:tcPr>
            <w:tcW w:w="3259" w:type="dxa"/>
            <w:vAlign w:val="center"/>
          </w:tcPr>
          <w:p>
            <w:pPr>
              <w:widowControl/>
              <w:jc w:val="left"/>
              <w:rPr>
                <w:rFonts w:eastAsiaTheme="minorEastAsia"/>
                <w:kern w:val="0"/>
                <w:sz w:val="24"/>
              </w:rPr>
            </w:pPr>
            <w:r>
              <w:rPr>
                <w:rFonts w:hint="eastAsia" w:eastAsiaTheme="minorEastAsia"/>
                <w:kern w:val="0"/>
                <w:sz w:val="24"/>
              </w:rPr>
              <w:t>通过汴石引河工程建设，引新汴河水北上入古汴河，向北穿过清水湾公园，维持大运河有水河段水系连通。</w:t>
            </w:r>
          </w:p>
        </w:tc>
        <w:tc>
          <w:tcPr>
            <w:tcW w:w="1324" w:type="dxa"/>
            <w:vAlign w:val="center"/>
          </w:tcPr>
          <w:p>
            <w:pPr>
              <w:widowControl/>
              <w:jc w:val="center"/>
              <w:rPr>
                <w:rFonts w:eastAsiaTheme="minorEastAsia"/>
                <w:kern w:val="0"/>
                <w:sz w:val="24"/>
              </w:rPr>
            </w:pPr>
            <w:r>
              <w:rPr>
                <w:rFonts w:hint="eastAsia" w:eastAsiaTheme="minorEastAsia"/>
                <w:kern w:val="0"/>
                <w:sz w:val="24"/>
              </w:rPr>
              <w:t>泗县人民政府</w:t>
            </w:r>
          </w:p>
        </w:tc>
        <w:tc>
          <w:tcPr>
            <w:tcW w:w="1022" w:type="dxa"/>
            <w:vAlign w:val="center"/>
          </w:tcPr>
          <w:p>
            <w:pPr>
              <w:widowControl/>
              <w:jc w:val="center"/>
              <w:rPr>
                <w:rFonts w:eastAsiaTheme="minorEastAsia"/>
                <w:kern w:val="0"/>
                <w:sz w:val="24"/>
              </w:rPr>
            </w:pPr>
            <w:r>
              <w:rPr>
                <w:rFonts w:hint="eastAsia" w:eastAsiaTheme="minorEastAsia"/>
                <w:kern w:val="0"/>
                <w:sz w:val="24"/>
              </w:rPr>
              <w:t>2025</w:t>
            </w:r>
          </w:p>
        </w:tc>
        <w:tc>
          <w:tcPr>
            <w:tcW w:w="1255" w:type="dxa"/>
            <w:vAlign w:val="center"/>
          </w:tcPr>
          <w:p>
            <w:pPr>
              <w:widowControl/>
              <w:jc w:val="center"/>
              <w:rPr>
                <w:rFonts w:eastAsiaTheme="minorEastAsia"/>
                <w:kern w:val="0"/>
                <w:sz w:val="24"/>
              </w:rPr>
            </w:pPr>
            <w:r>
              <w:rPr>
                <w:rFonts w:hint="eastAsia" w:eastAsiaTheme="minorEastAsia"/>
                <w:kern w:val="0"/>
                <w:sz w:val="24"/>
              </w:rPr>
              <w:t>3000</w:t>
            </w:r>
          </w:p>
        </w:tc>
      </w:tr>
    </w:tbl>
    <w:p>
      <w:pPr>
        <w:pStyle w:val="2"/>
        <w:spacing w:after="0" w:line="240" w:lineRule="auto"/>
        <w:ind w:left="0" w:leftChars="0"/>
        <w:jc w:val="center"/>
        <w:rPr>
          <w:b/>
          <w:bCs/>
          <w:sz w:val="21"/>
        </w:rPr>
      </w:pPr>
    </w:p>
    <w:p>
      <w:pPr>
        <w:pStyle w:val="25"/>
        <w:spacing w:before="156" w:after="156"/>
        <w:ind w:left="0" w:leftChars="0"/>
      </w:pPr>
      <w:bookmarkStart w:id="137" w:name="_Toc84536548"/>
      <w:r>
        <w:rPr>
          <w:rFonts w:hint="eastAsia"/>
        </w:rPr>
        <w:t>4.3.2 分段施策打造大运河实体</w:t>
      </w:r>
      <w:bookmarkEnd w:id="137"/>
    </w:p>
    <w:p>
      <w:pPr>
        <w:spacing w:line="360" w:lineRule="auto"/>
        <w:ind w:firstLine="560" w:firstLineChars="200"/>
        <w:rPr>
          <w:rFonts w:eastAsiaTheme="minorEastAsia"/>
          <w:sz w:val="28"/>
          <w:szCs w:val="28"/>
        </w:rPr>
      </w:pPr>
      <w:r>
        <w:rPr>
          <w:rFonts w:hint="eastAsia" w:eastAsiaTheme="minorEastAsia"/>
          <w:sz w:val="28"/>
          <w:szCs w:val="28"/>
        </w:rPr>
        <w:t>对以大运河泗县段为重点的有水河段保持现有河道形态，兼顾文化和景观功能，开展生态修复，以遗产保护为前提，以适度恢复原有生态环境和传统建筑风貌为方向，通过河道疏浚清淤、水质保护以及岸线环境整治等措施，提升水环境，恢复水生态。淤埋地下河段原则上采取原状保护，严禁与遗址保护利用无关的建设。</w:t>
      </w:r>
    </w:p>
    <w:p>
      <w:pPr>
        <w:spacing w:line="360" w:lineRule="auto"/>
        <w:ind w:firstLine="560" w:firstLineChars="200"/>
        <w:rPr>
          <w:rFonts w:eastAsiaTheme="minorEastAsia"/>
          <w:sz w:val="28"/>
          <w:szCs w:val="28"/>
        </w:rPr>
      </w:pPr>
      <w:r>
        <w:rPr>
          <w:rFonts w:eastAsiaTheme="minorEastAsia"/>
          <w:sz w:val="28"/>
          <w:szCs w:val="28"/>
        </w:rPr>
        <w:t>根据实际调查情况，</w:t>
      </w:r>
      <w:r>
        <w:rPr>
          <w:rFonts w:hint="eastAsia" w:eastAsiaTheme="minorEastAsia"/>
          <w:sz w:val="28"/>
          <w:szCs w:val="28"/>
        </w:rPr>
        <w:t>大运河宿州段大部分</w:t>
      </w:r>
      <w:r>
        <w:rPr>
          <w:rFonts w:eastAsiaTheme="minorEastAsia"/>
          <w:sz w:val="28"/>
          <w:szCs w:val="28"/>
        </w:rPr>
        <w:t>区域水体相对静止，容易造成水质恶化，需要通过措施对水体水质进行人为干预、修复。在水体适当位置，如</w:t>
      </w:r>
      <w:r>
        <w:rPr>
          <w:rFonts w:hint="eastAsia" w:eastAsiaTheme="minorEastAsia"/>
          <w:sz w:val="28"/>
          <w:szCs w:val="28"/>
        </w:rPr>
        <w:t>在城区河道水位较深的中央</w:t>
      </w:r>
      <w:r>
        <w:rPr>
          <w:rFonts w:eastAsiaTheme="minorEastAsia"/>
          <w:sz w:val="28"/>
          <w:szCs w:val="28"/>
        </w:rPr>
        <w:t>处安放人工复氧装置，使得水的表层和底层不断循环，从而使水体具有充足的溶解氧，避免了营养物质的释放，同时由于在表层的往复运动也使工作范围内的水出现局部的流动，增强了水体的自净能力。根据现场调查，</w:t>
      </w:r>
      <w:r>
        <w:rPr>
          <w:rFonts w:hint="eastAsia" w:eastAsiaTheme="minorEastAsia"/>
          <w:sz w:val="28"/>
          <w:szCs w:val="28"/>
        </w:rPr>
        <w:t>中医院桥、东关桥、丹凤桥、东二环路桥、西二环路桥</w:t>
      </w:r>
      <w:r>
        <w:rPr>
          <w:rFonts w:eastAsiaTheme="minorEastAsia"/>
          <w:sz w:val="28"/>
          <w:szCs w:val="28"/>
        </w:rPr>
        <w:t>宽阔，水位较深，复氧能力较差。本方案设计安装</w:t>
      </w:r>
      <w:r>
        <w:rPr>
          <w:rFonts w:hint="eastAsia" w:eastAsiaTheme="minorEastAsia"/>
          <w:sz w:val="28"/>
          <w:szCs w:val="28"/>
        </w:rPr>
        <w:t>5</w:t>
      </w:r>
      <w:r>
        <w:rPr>
          <w:rFonts w:eastAsiaTheme="minorEastAsia"/>
          <w:sz w:val="28"/>
          <w:szCs w:val="28"/>
        </w:rPr>
        <w:t>套漂浮式水体净化装置，对该河段进行整治</w:t>
      </w:r>
      <w:r>
        <w:rPr>
          <w:rFonts w:hint="eastAsia" w:eastAsiaTheme="minorEastAsia"/>
          <w:sz w:val="28"/>
          <w:szCs w:val="28"/>
        </w:rPr>
        <w:t>。</w:t>
      </w:r>
      <w:r>
        <w:rPr>
          <w:rFonts w:eastAsiaTheme="minorEastAsia"/>
          <w:sz w:val="28"/>
          <w:szCs w:val="28"/>
        </w:rPr>
        <w:t>对泗县运河段全线47</w:t>
      </w:r>
      <w:r>
        <w:rPr>
          <w:rFonts w:hint="eastAsia" w:eastAsiaTheme="minorEastAsia"/>
          <w:sz w:val="28"/>
          <w:szCs w:val="28"/>
        </w:rPr>
        <w:t xml:space="preserve"> km</w:t>
      </w:r>
      <w:r>
        <w:rPr>
          <w:rFonts w:eastAsiaTheme="minorEastAsia"/>
          <w:sz w:val="28"/>
          <w:szCs w:val="28"/>
        </w:rPr>
        <w:t>进行保护、展示性利用和环境治理。包括对河道疏浚修复和清淤、堤岸环境整治和绿化提升</w:t>
      </w:r>
      <w:r>
        <w:rPr>
          <w:rFonts w:hint="eastAsia" w:eastAsiaTheme="minorEastAsia"/>
          <w:sz w:val="28"/>
          <w:szCs w:val="28"/>
        </w:rPr>
        <w:t>，</w:t>
      </w:r>
      <w:r>
        <w:rPr>
          <w:rFonts w:eastAsiaTheme="minorEastAsia"/>
          <w:sz w:val="28"/>
          <w:szCs w:val="28"/>
        </w:rPr>
        <w:t>打造绿色生态廊道。设置必要的河道、河堤标识标牌系统等设施</w:t>
      </w:r>
      <w:r>
        <w:rPr>
          <w:rFonts w:hint="eastAsia" w:eastAsiaTheme="minorEastAsia"/>
          <w:sz w:val="28"/>
          <w:szCs w:val="28"/>
        </w:rPr>
        <w:t>，</w:t>
      </w:r>
      <w:r>
        <w:rPr>
          <w:rFonts w:eastAsiaTheme="minorEastAsia"/>
          <w:sz w:val="28"/>
          <w:szCs w:val="28"/>
        </w:rPr>
        <w:t>对重要考古挖掘点进行遗址展示等。具体工程量见表</w:t>
      </w:r>
      <w:r>
        <w:rPr>
          <w:rFonts w:hint="eastAsia" w:eastAsiaTheme="minorEastAsia"/>
          <w:sz w:val="28"/>
          <w:szCs w:val="28"/>
        </w:rPr>
        <w:t>4-8</w:t>
      </w:r>
      <w:r>
        <w:rPr>
          <w:rFonts w:eastAsiaTheme="minorEastAsia"/>
          <w:sz w:val="28"/>
          <w:szCs w:val="28"/>
        </w:rPr>
        <w:t>。</w:t>
      </w:r>
    </w:p>
    <w:p>
      <w:pPr>
        <w:spacing w:line="360" w:lineRule="auto"/>
        <w:jc w:val="center"/>
        <w:rPr>
          <w:b/>
          <w:bCs/>
          <w:sz w:val="24"/>
        </w:rPr>
      </w:pPr>
      <w:r>
        <w:rPr>
          <w:b/>
          <w:bCs/>
          <w:sz w:val="24"/>
        </w:rPr>
        <w:t>表</w:t>
      </w:r>
      <w:r>
        <w:rPr>
          <w:rFonts w:hint="eastAsia"/>
          <w:b/>
          <w:bCs/>
          <w:sz w:val="24"/>
        </w:rPr>
        <w:t>4-8  大运河宿州段</w:t>
      </w:r>
      <w:r>
        <w:rPr>
          <w:b/>
          <w:bCs/>
          <w:sz w:val="24"/>
        </w:rPr>
        <w:t>清漂</w:t>
      </w:r>
      <w:r>
        <w:rPr>
          <w:rFonts w:hint="eastAsia"/>
          <w:b/>
          <w:bCs/>
          <w:sz w:val="24"/>
        </w:rPr>
        <w:t>、清淤</w:t>
      </w:r>
      <w:r>
        <w:rPr>
          <w:b/>
          <w:bCs/>
          <w:sz w:val="24"/>
        </w:rPr>
        <w:t>工程量表</w:t>
      </w:r>
    </w:p>
    <w:tbl>
      <w:tblPr>
        <w:tblStyle w:val="28"/>
        <w:tblW w:w="794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6"/>
        <w:gridCol w:w="2554"/>
        <w:gridCol w:w="1277"/>
        <w:gridCol w:w="1197"/>
        <w:gridCol w:w="12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6" w:hRule="atLeast"/>
          <w:tblHeader/>
          <w:jc w:val="center"/>
        </w:trPr>
        <w:tc>
          <w:tcPr>
            <w:tcW w:w="1656" w:type="dxa"/>
            <w:shd w:val="clear" w:color="auto" w:fill="auto"/>
            <w:noWrap/>
            <w:vAlign w:val="center"/>
          </w:tcPr>
          <w:p>
            <w:pPr>
              <w:widowControl/>
              <w:jc w:val="center"/>
              <w:rPr>
                <w:rFonts w:ascii="宋体" w:hAnsi="宋体"/>
                <w:b/>
                <w:kern w:val="0"/>
                <w:sz w:val="24"/>
              </w:rPr>
            </w:pPr>
            <w:r>
              <w:rPr>
                <w:rFonts w:hint="eastAsia" w:ascii="宋体" w:hAnsi="宋体"/>
                <w:b/>
                <w:kern w:val="0"/>
                <w:sz w:val="24"/>
              </w:rPr>
              <w:t>项目名称</w:t>
            </w:r>
          </w:p>
        </w:tc>
        <w:tc>
          <w:tcPr>
            <w:tcW w:w="2554" w:type="dxa"/>
            <w:vAlign w:val="center"/>
          </w:tcPr>
          <w:p>
            <w:pPr>
              <w:widowControl/>
              <w:jc w:val="center"/>
              <w:rPr>
                <w:rFonts w:ascii="宋体" w:hAnsi="宋体"/>
                <w:b/>
                <w:kern w:val="0"/>
                <w:sz w:val="24"/>
              </w:rPr>
            </w:pPr>
            <w:r>
              <w:rPr>
                <w:rFonts w:eastAsiaTheme="minorEastAsia"/>
                <w:b/>
                <w:kern w:val="0"/>
                <w:sz w:val="24"/>
              </w:rPr>
              <w:t>主要建设内容</w:t>
            </w:r>
          </w:p>
        </w:tc>
        <w:tc>
          <w:tcPr>
            <w:tcW w:w="1277" w:type="dxa"/>
            <w:vAlign w:val="center"/>
          </w:tcPr>
          <w:p>
            <w:pPr>
              <w:widowControl/>
              <w:jc w:val="center"/>
              <w:rPr>
                <w:rFonts w:ascii="宋体" w:hAnsi="宋体"/>
                <w:b/>
                <w:kern w:val="0"/>
                <w:sz w:val="24"/>
              </w:rPr>
            </w:pPr>
            <w:r>
              <w:rPr>
                <w:rFonts w:ascii="宋体" w:hAnsi="宋体"/>
                <w:b/>
                <w:kern w:val="0"/>
                <w:sz w:val="24"/>
              </w:rPr>
              <w:t>责任主体</w:t>
            </w:r>
          </w:p>
        </w:tc>
        <w:tc>
          <w:tcPr>
            <w:tcW w:w="1197" w:type="dxa"/>
            <w:vAlign w:val="center"/>
          </w:tcPr>
          <w:p>
            <w:pPr>
              <w:widowControl/>
              <w:jc w:val="center"/>
              <w:rPr>
                <w:rFonts w:ascii="宋体" w:hAnsi="宋体"/>
                <w:b/>
                <w:kern w:val="0"/>
                <w:sz w:val="24"/>
              </w:rPr>
            </w:pPr>
            <w:r>
              <w:rPr>
                <w:rFonts w:ascii="宋体" w:hAnsi="宋体"/>
                <w:b/>
                <w:kern w:val="0"/>
                <w:sz w:val="24"/>
              </w:rPr>
              <w:t>完成期限</w:t>
            </w:r>
          </w:p>
        </w:tc>
        <w:tc>
          <w:tcPr>
            <w:tcW w:w="1256" w:type="dxa"/>
            <w:vAlign w:val="center"/>
          </w:tcPr>
          <w:p>
            <w:pPr>
              <w:widowControl/>
              <w:jc w:val="center"/>
              <w:rPr>
                <w:rFonts w:ascii="宋体" w:hAnsi="宋体"/>
                <w:b/>
                <w:kern w:val="0"/>
                <w:sz w:val="24"/>
              </w:rPr>
            </w:pPr>
            <w:r>
              <w:rPr>
                <w:rFonts w:ascii="宋体" w:hAnsi="宋体"/>
                <w:b/>
                <w:kern w:val="0"/>
                <w:sz w:val="24"/>
              </w:rPr>
              <w:t>投资金额（万元）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6" w:hRule="atLeast"/>
          <w:jc w:val="center"/>
        </w:trPr>
        <w:tc>
          <w:tcPr>
            <w:tcW w:w="1656" w:type="dxa"/>
            <w:shd w:val="clear" w:color="auto" w:fill="auto"/>
            <w:noWrap/>
            <w:vAlign w:val="center"/>
          </w:tcPr>
          <w:p>
            <w:pPr>
              <w:widowControl/>
              <w:jc w:val="center"/>
              <w:rPr>
                <w:rFonts w:eastAsiaTheme="minorEastAsia"/>
                <w:kern w:val="0"/>
                <w:sz w:val="24"/>
              </w:rPr>
            </w:pPr>
            <w:r>
              <w:rPr>
                <w:rFonts w:eastAsiaTheme="minorEastAsia"/>
                <w:kern w:val="0"/>
                <w:sz w:val="24"/>
              </w:rPr>
              <w:t>泗县西古汴河截污清淤、疏浚、生态修复</w:t>
            </w:r>
            <w:r>
              <w:rPr>
                <w:rFonts w:hint="eastAsia" w:eastAsiaTheme="minorEastAsia"/>
                <w:kern w:val="0"/>
                <w:sz w:val="24"/>
              </w:rPr>
              <w:t>工程</w:t>
            </w:r>
          </w:p>
        </w:tc>
        <w:tc>
          <w:tcPr>
            <w:tcW w:w="2554" w:type="dxa"/>
            <w:vAlign w:val="center"/>
          </w:tcPr>
          <w:p>
            <w:pPr>
              <w:widowControl/>
              <w:jc w:val="left"/>
              <w:rPr>
                <w:rFonts w:eastAsiaTheme="minorEastAsia"/>
                <w:kern w:val="0"/>
                <w:sz w:val="24"/>
              </w:rPr>
            </w:pPr>
            <w:r>
              <w:rPr>
                <w:rFonts w:eastAsiaTheme="minorEastAsia"/>
                <w:kern w:val="0"/>
                <w:sz w:val="24"/>
              </w:rPr>
              <w:t>全长21</w:t>
            </w:r>
            <w:r>
              <w:rPr>
                <w:rFonts w:hint="eastAsia" w:eastAsiaTheme="minorEastAsia"/>
                <w:kern w:val="0"/>
                <w:sz w:val="24"/>
              </w:rPr>
              <w:t xml:space="preserve"> km</w:t>
            </w:r>
            <w:r>
              <w:rPr>
                <w:rFonts w:eastAsiaTheme="minorEastAsia"/>
                <w:kern w:val="0"/>
                <w:sz w:val="24"/>
              </w:rPr>
              <w:t>活水循环、截污、清淤、疏浚、生态修复</w:t>
            </w:r>
            <w:r>
              <w:rPr>
                <w:rFonts w:hint="eastAsia" w:eastAsiaTheme="minorEastAsia"/>
                <w:kern w:val="0"/>
                <w:sz w:val="24"/>
              </w:rPr>
              <w:t>。</w:t>
            </w:r>
          </w:p>
        </w:tc>
        <w:tc>
          <w:tcPr>
            <w:tcW w:w="1277" w:type="dxa"/>
            <w:vAlign w:val="center"/>
          </w:tcPr>
          <w:p>
            <w:pPr>
              <w:widowControl/>
              <w:jc w:val="center"/>
              <w:rPr>
                <w:rFonts w:eastAsiaTheme="minorEastAsia"/>
                <w:kern w:val="0"/>
                <w:sz w:val="24"/>
              </w:rPr>
            </w:pPr>
            <w:r>
              <w:rPr>
                <w:rFonts w:hint="eastAsia" w:eastAsiaTheme="minorEastAsia"/>
                <w:kern w:val="0"/>
                <w:sz w:val="24"/>
              </w:rPr>
              <w:t>泗县人民政府</w:t>
            </w:r>
          </w:p>
        </w:tc>
        <w:tc>
          <w:tcPr>
            <w:tcW w:w="1197" w:type="dxa"/>
            <w:vAlign w:val="center"/>
          </w:tcPr>
          <w:p>
            <w:pPr>
              <w:widowControl/>
              <w:jc w:val="center"/>
              <w:rPr>
                <w:rFonts w:eastAsiaTheme="minorEastAsia"/>
                <w:kern w:val="0"/>
                <w:sz w:val="24"/>
              </w:rPr>
            </w:pPr>
            <w:r>
              <w:rPr>
                <w:rFonts w:hint="eastAsia" w:eastAsiaTheme="minorEastAsia"/>
                <w:kern w:val="0"/>
                <w:sz w:val="24"/>
              </w:rPr>
              <w:t>2022</w:t>
            </w:r>
          </w:p>
        </w:tc>
        <w:tc>
          <w:tcPr>
            <w:tcW w:w="1256" w:type="dxa"/>
            <w:vAlign w:val="center"/>
          </w:tcPr>
          <w:p>
            <w:pPr>
              <w:widowControl/>
              <w:jc w:val="center"/>
              <w:rPr>
                <w:rFonts w:eastAsiaTheme="minorEastAsia"/>
                <w:kern w:val="0"/>
                <w:sz w:val="24"/>
              </w:rPr>
            </w:pPr>
            <w:r>
              <w:rPr>
                <w:rFonts w:hint="eastAsia" w:eastAsiaTheme="minorEastAsia"/>
                <w:kern w:val="0"/>
                <w:sz w:val="24"/>
              </w:rPr>
              <w:t>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2" w:hRule="atLeast"/>
          <w:jc w:val="center"/>
        </w:trPr>
        <w:tc>
          <w:tcPr>
            <w:tcW w:w="1656" w:type="dxa"/>
            <w:shd w:val="clear" w:color="auto" w:fill="auto"/>
            <w:noWrap/>
            <w:vAlign w:val="center"/>
          </w:tcPr>
          <w:p>
            <w:pPr>
              <w:jc w:val="center"/>
              <w:rPr>
                <w:sz w:val="24"/>
              </w:rPr>
            </w:pPr>
            <w:r>
              <w:rPr>
                <w:rFonts w:eastAsiaTheme="minorEastAsia"/>
                <w:kern w:val="0"/>
                <w:sz w:val="24"/>
              </w:rPr>
              <w:t>大运河泗县段保护展示利用工程</w:t>
            </w:r>
          </w:p>
        </w:tc>
        <w:tc>
          <w:tcPr>
            <w:tcW w:w="2554" w:type="dxa"/>
            <w:vAlign w:val="center"/>
          </w:tcPr>
          <w:p>
            <w:pPr>
              <w:rPr>
                <w:kern w:val="0"/>
                <w:sz w:val="24"/>
              </w:rPr>
            </w:pPr>
            <w:r>
              <w:rPr>
                <w:rFonts w:eastAsiaTheme="minorEastAsia"/>
                <w:kern w:val="0"/>
                <w:sz w:val="24"/>
              </w:rPr>
              <w:t>对泗县运河段全线47</w:t>
            </w:r>
            <w:r>
              <w:rPr>
                <w:rFonts w:hint="eastAsia" w:eastAsiaTheme="minorEastAsia"/>
                <w:kern w:val="0"/>
                <w:sz w:val="24"/>
              </w:rPr>
              <w:t xml:space="preserve"> km</w:t>
            </w:r>
            <w:r>
              <w:rPr>
                <w:rFonts w:eastAsiaTheme="minorEastAsia"/>
                <w:kern w:val="0"/>
                <w:sz w:val="24"/>
              </w:rPr>
              <w:t>进行保护、展示性利用和环境治理。包括对河道疏浚修复和清淤、堤岸环境整治和绿化提升</w:t>
            </w:r>
            <w:r>
              <w:rPr>
                <w:rFonts w:hint="eastAsia" w:eastAsiaTheme="minorEastAsia"/>
                <w:kern w:val="0"/>
                <w:sz w:val="24"/>
              </w:rPr>
              <w:t>，</w:t>
            </w:r>
            <w:r>
              <w:rPr>
                <w:rFonts w:eastAsiaTheme="minorEastAsia"/>
                <w:kern w:val="0"/>
                <w:sz w:val="24"/>
              </w:rPr>
              <w:t>打造绿色生态廊道。设置必要的河道、河堤标识标牌系统等设施</w:t>
            </w:r>
            <w:r>
              <w:rPr>
                <w:rFonts w:hint="eastAsia" w:eastAsiaTheme="minorEastAsia"/>
                <w:kern w:val="0"/>
                <w:sz w:val="24"/>
              </w:rPr>
              <w:t>，</w:t>
            </w:r>
            <w:r>
              <w:rPr>
                <w:rFonts w:eastAsiaTheme="minorEastAsia"/>
                <w:kern w:val="0"/>
                <w:sz w:val="24"/>
              </w:rPr>
              <w:t>对重要考古挖掘点进行遗址展示等。</w:t>
            </w:r>
          </w:p>
        </w:tc>
        <w:tc>
          <w:tcPr>
            <w:tcW w:w="1277" w:type="dxa"/>
            <w:vAlign w:val="center"/>
          </w:tcPr>
          <w:p>
            <w:pPr>
              <w:jc w:val="center"/>
              <w:rPr>
                <w:sz w:val="24"/>
              </w:rPr>
            </w:pPr>
            <w:r>
              <w:rPr>
                <w:rFonts w:hint="eastAsia"/>
                <w:sz w:val="24"/>
              </w:rPr>
              <w:t>泗县人民政府</w:t>
            </w:r>
          </w:p>
        </w:tc>
        <w:tc>
          <w:tcPr>
            <w:tcW w:w="1197" w:type="dxa"/>
            <w:vAlign w:val="center"/>
          </w:tcPr>
          <w:p>
            <w:pPr>
              <w:jc w:val="center"/>
              <w:rPr>
                <w:sz w:val="24"/>
              </w:rPr>
            </w:pPr>
            <w:r>
              <w:rPr>
                <w:rFonts w:hint="eastAsia"/>
                <w:sz w:val="24"/>
              </w:rPr>
              <w:t>2022</w:t>
            </w:r>
          </w:p>
        </w:tc>
        <w:tc>
          <w:tcPr>
            <w:tcW w:w="1256" w:type="dxa"/>
            <w:vAlign w:val="center"/>
          </w:tcPr>
          <w:p>
            <w:pPr>
              <w:jc w:val="center"/>
              <w:rPr>
                <w:sz w:val="24"/>
              </w:rPr>
            </w:pPr>
            <w:r>
              <w:rPr>
                <w:rFonts w:hint="eastAsia"/>
                <w:sz w:val="24"/>
              </w:rPr>
              <w:t>35000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7" w:hRule="atLeast"/>
          <w:jc w:val="center"/>
        </w:trPr>
        <w:tc>
          <w:tcPr>
            <w:tcW w:w="1656" w:type="dxa"/>
            <w:shd w:val="clear" w:color="auto" w:fill="auto"/>
            <w:noWrap/>
            <w:vAlign w:val="center"/>
          </w:tcPr>
          <w:p>
            <w:pPr>
              <w:jc w:val="center"/>
              <w:rPr>
                <w:b/>
                <w:sz w:val="24"/>
              </w:rPr>
            </w:pPr>
            <w:r>
              <w:rPr>
                <w:rFonts w:hint="eastAsia"/>
                <w:b/>
                <w:sz w:val="24"/>
              </w:rPr>
              <w:t>合计</w:t>
            </w:r>
          </w:p>
        </w:tc>
        <w:tc>
          <w:tcPr>
            <w:tcW w:w="5028" w:type="dxa"/>
            <w:gridSpan w:val="3"/>
            <w:vAlign w:val="center"/>
          </w:tcPr>
          <w:p>
            <w:pPr>
              <w:jc w:val="center"/>
              <w:rPr>
                <w:sz w:val="24"/>
              </w:rPr>
            </w:pPr>
          </w:p>
        </w:tc>
        <w:tc>
          <w:tcPr>
            <w:tcW w:w="1256" w:type="dxa"/>
            <w:vAlign w:val="center"/>
          </w:tcPr>
          <w:p>
            <w:pPr>
              <w:jc w:val="center"/>
              <w:rPr>
                <w:b/>
                <w:sz w:val="24"/>
              </w:rPr>
            </w:pPr>
            <w:r>
              <w:rPr>
                <w:rFonts w:hint="eastAsia"/>
                <w:b/>
                <w:sz w:val="24"/>
              </w:rPr>
              <w:t>41000</w:t>
            </w:r>
          </w:p>
        </w:tc>
      </w:tr>
    </w:tbl>
    <w:p>
      <w:pPr>
        <w:pStyle w:val="2"/>
        <w:spacing w:after="0" w:line="240" w:lineRule="auto"/>
        <w:rPr>
          <w:sz w:val="21"/>
        </w:rPr>
      </w:pPr>
    </w:p>
    <w:p>
      <w:pPr>
        <w:pStyle w:val="4"/>
        <w:spacing w:before="312" w:after="312"/>
        <w:rPr>
          <w:rFonts w:eastAsiaTheme="minorEastAsia"/>
        </w:rPr>
      </w:pPr>
      <w:bookmarkStart w:id="138" w:name="_Toc84536549"/>
      <w:r>
        <w:rPr>
          <w:rFonts w:hint="eastAsia" w:eastAsiaTheme="minorEastAsia"/>
        </w:rPr>
        <w:t>4.4 加强小流域综合治理</w:t>
      </w:r>
      <w:bookmarkEnd w:id="138"/>
    </w:p>
    <w:p>
      <w:pPr>
        <w:ind w:firstLine="560" w:firstLineChars="200"/>
        <w:rPr>
          <w:rFonts w:eastAsiaTheme="minorEastAsia"/>
          <w:sz w:val="28"/>
          <w:szCs w:val="28"/>
        </w:rPr>
      </w:pPr>
      <w:r>
        <w:rPr>
          <w:rFonts w:hint="eastAsia" w:eastAsiaTheme="minorEastAsia"/>
          <w:sz w:val="28"/>
          <w:szCs w:val="28"/>
        </w:rPr>
        <w:t>实施运河周边水系综合治理工程，通过河道清障、河堤防护带生态防护、污水排放管控等措施，全面改善运河沿线河流水系的水体水质。加快推进与通济渠关联的中小河流治理，为大运河沿线整体生态恢复提供水利支撑。本方案计划对新汴河及新濉河的拓展延伸段的建设，石龙湖湿地公园的综合治理，石梁河的清淤疏浚。具体工程信息见表4-9。</w:t>
      </w:r>
    </w:p>
    <w:p>
      <w:pPr>
        <w:spacing w:line="360" w:lineRule="auto"/>
        <w:jc w:val="center"/>
        <w:rPr>
          <w:b/>
          <w:bCs/>
          <w:sz w:val="24"/>
        </w:rPr>
      </w:pPr>
      <w:r>
        <w:rPr>
          <w:rFonts w:hint="eastAsia"/>
          <w:b/>
          <w:bCs/>
          <w:sz w:val="24"/>
        </w:rPr>
        <w:t>表4</w:t>
      </w:r>
      <w:r>
        <w:rPr>
          <w:b/>
          <w:bCs/>
          <w:sz w:val="24"/>
        </w:rPr>
        <w:t>-</w:t>
      </w:r>
      <w:r>
        <w:rPr>
          <w:rFonts w:hint="eastAsia"/>
          <w:b/>
          <w:bCs/>
          <w:sz w:val="24"/>
        </w:rPr>
        <w:t>9</w:t>
      </w:r>
      <w:r>
        <w:rPr>
          <w:b/>
          <w:bCs/>
          <w:sz w:val="24"/>
        </w:rPr>
        <w:t xml:space="preserve">  </w:t>
      </w:r>
      <w:r>
        <w:rPr>
          <w:rFonts w:hint="eastAsia"/>
          <w:b/>
          <w:bCs/>
          <w:sz w:val="24"/>
        </w:rPr>
        <w:t>大运河宿州段周边河湖治理工程信息表</w:t>
      </w:r>
    </w:p>
    <w:tbl>
      <w:tblPr>
        <w:tblStyle w:val="28"/>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2"/>
        <w:gridCol w:w="2835"/>
        <w:gridCol w:w="1324"/>
        <w:gridCol w:w="1022"/>
        <w:gridCol w:w="12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64" w:hRule="atLeast"/>
          <w:tblHeader/>
          <w:jc w:val="center"/>
        </w:trPr>
        <w:tc>
          <w:tcPr>
            <w:tcW w:w="2092" w:type="dxa"/>
            <w:vAlign w:val="center"/>
          </w:tcPr>
          <w:p>
            <w:pPr>
              <w:widowControl/>
              <w:jc w:val="center"/>
              <w:rPr>
                <w:rFonts w:eastAsiaTheme="minorEastAsia"/>
                <w:b/>
                <w:kern w:val="0"/>
                <w:sz w:val="24"/>
              </w:rPr>
            </w:pPr>
            <w:r>
              <w:rPr>
                <w:rFonts w:eastAsiaTheme="minorEastAsia"/>
                <w:b/>
                <w:kern w:val="0"/>
                <w:sz w:val="24"/>
              </w:rPr>
              <w:t>项目名称</w:t>
            </w:r>
          </w:p>
        </w:tc>
        <w:tc>
          <w:tcPr>
            <w:tcW w:w="2835" w:type="dxa"/>
            <w:vAlign w:val="center"/>
          </w:tcPr>
          <w:p>
            <w:pPr>
              <w:widowControl/>
              <w:jc w:val="center"/>
              <w:rPr>
                <w:rFonts w:eastAsiaTheme="minorEastAsia"/>
                <w:b/>
                <w:kern w:val="0"/>
                <w:sz w:val="24"/>
              </w:rPr>
            </w:pPr>
            <w:r>
              <w:rPr>
                <w:rFonts w:eastAsiaTheme="minorEastAsia"/>
                <w:b/>
                <w:kern w:val="0"/>
                <w:sz w:val="24"/>
              </w:rPr>
              <w:t>主要建设内容</w:t>
            </w:r>
          </w:p>
        </w:tc>
        <w:tc>
          <w:tcPr>
            <w:tcW w:w="1324" w:type="dxa"/>
            <w:vAlign w:val="center"/>
          </w:tcPr>
          <w:p>
            <w:pPr>
              <w:widowControl/>
              <w:jc w:val="center"/>
              <w:rPr>
                <w:rFonts w:eastAsiaTheme="minorEastAsia"/>
                <w:b/>
                <w:kern w:val="0"/>
                <w:sz w:val="24"/>
              </w:rPr>
            </w:pPr>
            <w:r>
              <w:rPr>
                <w:rFonts w:eastAsiaTheme="minorEastAsia"/>
                <w:b/>
                <w:kern w:val="0"/>
                <w:sz w:val="24"/>
              </w:rPr>
              <w:t>责任主体</w:t>
            </w:r>
          </w:p>
        </w:tc>
        <w:tc>
          <w:tcPr>
            <w:tcW w:w="1022" w:type="dxa"/>
            <w:vAlign w:val="center"/>
          </w:tcPr>
          <w:p>
            <w:pPr>
              <w:widowControl/>
              <w:jc w:val="center"/>
              <w:rPr>
                <w:rFonts w:eastAsiaTheme="minorEastAsia"/>
                <w:b/>
                <w:kern w:val="0"/>
                <w:sz w:val="24"/>
              </w:rPr>
            </w:pPr>
            <w:r>
              <w:rPr>
                <w:rFonts w:eastAsiaTheme="minorEastAsia"/>
                <w:b/>
                <w:kern w:val="0"/>
                <w:sz w:val="24"/>
              </w:rPr>
              <w:t>建成</w:t>
            </w:r>
          </w:p>
          <w:p>
            <w:pPr>
              <w:widowControl/>
              <w:jc w:val="center"/>
              <w:rPr>
                <w:rFonts w:eastAsiaTheme="minorEastAsia"/>
                <w:b/>
                <w:kern w:val="0"/>
                <w:sz w:val="24"/>
              </w:rPr>
            </w:pPr>
            <w:r>
              <w:rPr>
                <w:rFonts w:eastAsiaTheme="minorEastAsia"/>
                <w:b/>
                <w:kern w:val="0"/>
                <w:sz w:val="24"/>
              </w:rPr>
              <w:t>期限</w:t>
            </w:r>
          </w:p>
        </w:tc>
        <w:tc>
          <w:tcPr>
            <w:tcW w:w="1255" w:type="dxa"/>
            <w:vAlign w:val="center"/>
          </w:tcPr>
          <w:p>
            <w:pPr>
              <w:widowControl/>
              <w:jc w:val="center"/>
              <w:rPr>
                <w:rFonts w:ascii="宋体" w:hAnsi="宋体" w:cs="宋体"/>
                <w:b/>
                <w:bCs/>
                <w:color w:val="000000"/>
                <w:kern w:val="0"/>
                <w:sz w:val="24"/>
              </w:rPr>
            </w:pPr>
            <w:r>
              <w:rPr>
                <w:rFonts w:hint="eastAsia" w:ascii="宋体" w:hAnsi="宋体" w:cs="宋体"/>
                <w:b/>
                <w:bCs/>
                <w:color w:val="000000"/>
                <w:kern w:val="0"/>
                <w:sz w:val="24"/>
              </w:rPr>
              <w:t>投资金额</w:t>
            </w:r>
          </w:p>
          <w:p>
            <w:pPr>
              <w:widowControl/>
              <w:jc w:val="center"/>
              <w:rPr>
                <w:rFonts w:eastAsiaTheme="minorEastAsia"/>
                <w:b/>
                <w:kern w:val="0"/>
                <w:sz w:val="24"/>
              </w:rPr>
            </w:pPr>
            <w:r>
              <w:rPr>
                <w:rFonts w:hint="eastAsia" w:ascii="宋体" w:hAnsi="宋体" w:cs="宋体"/>
                <w:b/>
                <w:bCs/>
                <w:color w:val="000000"/>
                <w:kern w:val="0"/>
                <w:sz w:val="24"/>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64" w:hRule="atLeast"/>
          <w:jc w:val="center"/>
        </w:trPr>
        <w:tc>
          <w:tcPr>
            <w:tcW w:w="2092" w:type="dxa"/>
            <w:vAlign w:val="center"/>
          </w:tcPr>
          <w:p>
            <w:pPr>
              <w:widowControl/>
              <w:jc w:val="center"/>
              <w:rPr>
                <w:rFonts w:eastAsiaTheme="minorEastAsia"/>
                <w:kern w:val="0"/>
                <w:sz w:val="24"/>
              </w:rPr>
            </w:pPr>
            <w:r>
              <w:rPr>
                <w:rFonts w:eastAsiaTheme="minorEastAsia"/>
                <w:kern w:val="0"/>
                <w:sz w:val="24"/>
              </w:rPr>
              <w:t>泗县石梁河面上大中小沟治理清淤疏浚</w:t>
            </w:r>
            <w:r>
              <w:rPr>
                <w:rFonts w:hint="eastAsia" w:eastAsiaTheme="minorEastAsia"/>
                <w:kern w:val="0"/>
                <w:sz w:val="24"/>
              </w:rPr>
              <w:t>工程</w:t>
            </w:r>
          </w:p>
        </w:tc>
        <w:tc>
          <w:tcPr>
            <w:tcW w:w="2835" w:type="dxa"/>
            <w:vAlign w:val="center"/>
          </w:tcPr>
          <w:p>
            <w:pPr>
              <w:widowControl/>
              <w:jc w:val="left"/>
              <w:rPr>
                <w:rFonts w:eastAsiaTheme="minorEastAsia"/>
                <w:kern w:val="0"/>
                <w:sz w:val="24"/>
              </w:rPr>
            </w:pPr>
            <w:r>
              <w:rPr>
                <w:rFonts w:eastAsiaTheme="minorEastAsia"/>
                <w:kern w:val="0"/>
                <w:sz w:val="24"/>
              </w:rPr>
              <w:t>411</w:t>
            </w:r>
            <w:r>
              <w:rPr>
                <w:rFonts w:hint="eastAsia" w:eastAsiaTheme="minorEastAsia"/>
                <w:kern w:val="0"/>
                <w:sz w:val="24"/>
              </w:rPr>
              <w:t xml:space="preserve"> km</w:t>
            </w:r>
            <w:r>
              <w:rPr>
                <w:rFonts w:hint="eastAsia" w:eastAsiaTheme="minorEastAsia"/>
                <w:kern w:val="0"/>
                <w:sz w:val="24"/>
                <w:vertAlign w:val="superscript"/>
              </w:rPr>
              <w:t>2</w:t>
            </w:r>
            <w:r>
              <w:rPr>
                <w:rFonts w:eastAsiaTheme="minorEastAsia"/>
                <w:kern w:val="0"/>
                <w:sz w:val="24"/>
              </w:rPr>
              <w:t>范围内</w:t>
            </w:r>
            <w:r>
              <w:rPr>
                <w:rFonts w:hint="eastAsia" w:eastAsiaTheme="minorEastAsia"/>
                <w:kern w:val="0"/>
                <w:sz w:val="24"/>
              </w:rPr>
              <w:t>的</w:t>
            </w:r>
            <w:r>
              <w:rPr>
                <w:rFonts w:eastAsiaTheme="minorEastAsia"/>
                <w:kern w:val="0"/>
                <w:sz w:val="24"/>
              </w:rPr>
              <w:t>大中小沟治理及工程建设</w:t>
            </w:r>
            <w:r>
              <w:rPr>
                <w:rFonts w:hint="eastAsia" w:eastAsiaTheme="minorEastAsia"/>
                <w:kern w:val="0"/>
                <w:sz w:val="24"/>
              </w:rPr>
              <w:t>。</w:t>
            </w:r>
          </w:p>
        </w:tc>
        <w:tc>
          <w:tcPr>
            <w:tcW w:w="1324" w:type="dxa"/>
            <w:vAlign w:val="center"/>
          </w:tcPr>
          <w:p>
            <w:pPr>
              <w:widowControl/>
              <w:jc w:val="center"/>
              <w:rPr>
                <w:rFonts w:eastAsiaTheme="minorEastAsia"/>
                <w:kern w:val="0"/>
                <w:sz w:val="24"/>
              </w:rPr>
            </w:pPr>
            <w:r>
              <w:rPr>
                <w:rFonts w:hint="eastAsia" w:eastAsiaTheme="minorEastAsia"/>
                <w:kern w:val="0"/>
                <w:sz w:val="24"/>
              </w:rPr>
              <w:t>泗县人民政府</w:t>
            </w:r>
          </w:p>
        </w:tc>
        <w:tc>
          <w:tcPr>
            <w:tcW w:w="1022" w:type="dxa"/>
            <w:vAlign w:val="center"/>
          </w:tcPr>
          <w:p>
            <w:pPr>
              <w:widowControl/>
              <w:jc w:val="center"/>
              <w:rPr>
                <w:rFonts w:eastAsiaTheme="minorEastAsia"/>
                <w:kern w:val="0"/>
                <w:sz w:val="24"/>
              </w:rPr>
            </w:pPr>
            <w:r>
              <w:rPr>
                <w:rFonts w:hint="eastAsia" w:eastAsiaTheme="minorEastAsia"/>
                <w:kern w:val="0"/>
                <w:sz w:val="24"/>
              </w:rPr>
              <w:t>2022</w:t>
            </w:r>
          </w:p>
        </w:tc>
        <w:tc>
          <w:tcPr>
            <w:tcW w:w="1255" w:type="dxa"/>
            <w:vAlign w:val="center"/>
          </w:tcPr>
          <w:p>
            <w:pPr>
              <w:widowControl/>
              <w:jc w:val="center"/>
              <w:rPr>
                <w:rFonts w:eastAsiaTheme="minorEastAsia"/>
                <w:kern w:val="0"/>
                <w:sz w:val="24"/>
              </w:rPr>
            </w:pPr>
            <w:r>
              <w:rPr>
                <w:rFonts w:hint="eastAsia" w:eastAsiaTheme="minorEastAsia"/>
                <w:kern w:val="0"/>
                <w:sz w:val="24"/>
              </w:rPr>
              <w:t>30000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64" w:hRule="atLeast"/>
          <w:jc w:val="center"/>
        </w:trPr>
        <w:tc>
          <w:tcPr>
            <w:tcW w:w="2092" w:type="dxa"/>
            <w:vAlign w:val="center"/>
          </w:tcPr>
          <w:p>
            <w:pPr>
              <w:widowControl/>
              <w:jc w:val="center"/>
              <w:rPr>
                <w:rFonts w:eastAsiaTheme="minorEastAsia"/>
                <w:kern w:val="0"/>
                <w:sz w:val="24"/>
              </w:rPr>
            </w:pPr>
            <w:r>
              <w:rPr>
                <w:rFonts w:eastAsiaTheme="minorEastAsia"/>
                <w:kern w:val="0"/>
                <w:sz w:val="24"/>
              </w:rPr>
              <w:t>泗县石梁河生态修复</w:t>
            </w:r>
            <w:r>
              <w:rPr>
                <w:rFonts w:hint="eastAsia" w:eastAsiaTheme="minorEastAsia"/>
                <w:kern w:val="0"/>
                <w:sz w:val="24"/>
              </w:rPr>
              <w:t>工程</w:t>
            </w:r>
          </w:p>
        </w:tc>
        <w:tc>
          <w:tcPr>
            <w:tcW w:w="2835" w:type="dxa"/>
            <w:vAlign w:val="center"/>
          </w:tcPr>
          <w:p>
            <w:pPr>
              <w:widowControl/>
              <w:jc w:val="left"/>
              <w:rPr>
                <w:rFonts w:eastAsiaTheme="minorEastAsia"/>
                <w:kern w:val="0"/>
                <w:sz w:val="24"/>
              </w:rPr>
            </w:pPr>
            <w:r>
              <w:rPr>
                <w:rFonts w:eastAsiaTheme="minorEastAsia"/>
                <w:kern w:val="0"/>
                <w:sz w:val="24"/>
              </w:rPr>
              <w:t>河道及大中小沟生态修复</w:t>
            </w:r>
            <w:r>
              <w:rPr>
                <w:rFonts w:hint="eastAsia" w:eastAsiaTheme="minorEastAsia"/>
                <w:kern w:val="0"/>
                <w:sz w:val="24"/>
              </w:rPr>
              <w:t>。</w:t>
            </w:r>
          </w:p>
        </w:tc>
        <w:tc>
          <w:tcPr>
            <w:tcW w:w="1324" w:type="dxa"/>
            <w:vAlign w:val="center"/>
          </w:tcPr>
          <w:p>
            <w:pPr>
              <w:widowControl/>
              <w:jc w:val="center"/>
              <w:rPr>
                <w:rFonts w:eastAsiaTheme="minorEastAsia"/>
                <w:kern w:val="0"/>
                <w:sz w:val="24"/>
              </w:rPr>
            </w:pPr>
            <w:r>
              <w:rPr>
                <w:rFonts w:hint="eastAsia" w:eastAsiaTheme="minorEastAsia"/>
                <w:kern w:val="0"/>
                <w:sz w:val="24"/>
              </w:rPr>
              <w:t>泗县人民政府</w:t>
            </w:r>
          </w:p>
        </w:tc>
        <w:tc>
          <w:tcPr>
            <w:tcW w:w="1022" w:type="dxa"/>
            <w:vAlign w:val="center"/>
          </w:tcPr>
          <w:p>
            <w:pPr>
              <w:widowControl/>
              <w:jc w:val="center"/>
              <w:rPr>
                <w:rFonts w:eastAsiaTheme="minorEastAsia"/>
                <w:kern w:val="0"/>
                <w:sz w:val="24"/>
              </w:rPr>
            </w:pPr>
            <w:r>
              <w:rPr>
                <w:rFonts w:hint="eastAsia" w:eastAsiaTheme="minorEastAsia"/>
                <w:kern w:val="0"/>
                <w:sz w:val="24"/>
              </w:rPr>
              <w:t>2022</w:t>
            </w:r>
          </w:p>
        </w:tc>
        <w:tc>
          <w:tcPr>
            <w:tcW w:w="1255" w:type="dxa"/>
            <w:vAlign w:val="center"/>
          </w:tcPr>
          <w:p>
            <w:pPr>
              <w:widowControl/>
              <w:jc w:val="center"/>
              <w:rPr>
                <w:rFonts w:eastAsiaTheme="minorEastAsia"/>
                <w:kern w:val="0"/>
                <w:sz w:val="24"/>
              </w:rPr>
            </w:pPr>
            <w:r>
              <w:rPr>
                <w:rFonts w:hint="eastAsia" w:eastAsiaTheme="minorEastAsia"/>
                <w:kern w:val="0"/>
                <w:sz w:val="24"/>
              </w:rPr>
              <w:t>15000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64" w:hRule="atLeast"/>
          <w:jc w:val="center"/>
        </w:trPr>
        <w:tc>
          <w:tcPr>
            <w:tcW w:w="2092" w:type="dxa"/>
            <w:vAlign w:val="center"/>
          </w:tcPr>
          <w:p>
            <w:pPr>
              <w:widowControl/>
              <w:jc w:val="center"/>
              <w:rPr>
                <w:rFonts w:eastAsiaTheme="minorEastAsia"/>
                <w:kern w:val="0"/>
                <w:sz w:val="24"/>
              </w:rPr>
            </w:pPr>
            <w:r>
              <w:rPr>
                <w:rFonts w:eastAsiaTheme="minorEastAsia"/>
                <w:kern w:val="0"/>
                <w:sz w:val="24"/>
              </w:rPr>
              <w:t>泗县新汴河新濉河拓展延伸段</w:t>
            </w:r>
            <w:r>
              <w:rPr>
                <w:rFonts w:hint="eastAsia" w:eastAsiaTheme="minorEastAsia"/>
                <w:kern w:val="0"/>
                <w:sz w:val="24"/>
              </w:rPr>
              <w:t>建设工程</w:t>
            </w:r>
          </w:p>
        </w:tc>
        <w:tc>
          <w:tcPr>
            <w:tcW w:w="2835" w:type="dxa"/>
            <w:vAlign w:val="center"/>
          </w:tcPr>
          <w:p>
            <w:pPr>
              <w:widowControl/>
              <w:jc w:val="left"/>
              <w:rPr>
                <w:rFonts w:eastAsiaTheme="minorEastAsia"/>
                <w:kern w:val="0"/>
                <w:sz w:val="24"/>
              </w:rPr>
            </w:pPr>
            <w:r>
              <w:rPr>
                <w:rFonts w:eastAsiaTheme="minorEastAsia"/>
                <w:kern w:val="0"/>
                <w:sz w:val="24"/>
              </w:rPr>
              <w:t>提升改造新汴河、新濉河沿线建设</w:t>
            </w:r>
            <w:r>
              <w:rPr>
                <w:rFonts w:hint="eastAsia" w:eastAsiaTheme="minorEastAsia"/>
                <w:kern w:val="0"/>
                <w:sz w:val="24"/>
              </w:rPr>
              <w:t>。</w:t>
            </w:r>
          </w:p>
        </w:tc>
        <w:tc>
          <w:tcPr>
            <w:tcW w:w="1324" w:type="dxa"/>
            <w:vAlign w:val="center"/>
          </w:tcPr>
          <w:p>
            <w:pPr>
              <w:widowControl/>
              <w:jc w:val="center"/>
              <w:rPr>
                <w:rFonts w:eastAsiaTheme="minorEastAsia"/>
                <w:kern w:val="0"/>
                <w:sz w:val="24"/>
              </w:rPr>
            </w:pPr>
            <w:r>
              <w:rPr>
                <w:rFonts w:hint="eastAsia" w:eastAsiaTheme="minorEastAsia"/>
                <w:kern w:val="0"/>
                <w:sz w:val="24"/>
              </w:rPr>
              <w:t>泗县人民政府</w:t>
            </w:r>
          </w:p>
        </w:tc>
        <w:tc>
          <w:tcPr>
            <w:tcW w:w="1022" w:type="dxa"/>
            <w:vAlign w:val="center"/>
          </w:tcPr>
          <w:p>
            <w:pPr>
              <w:widowControl/>
              <w:jc w:val="center"/>
              <w:rPr>
                <w:rFonts w:eastAsiaTheme="minorEastAsia"/>
                <w:kern w:val="0"/>
                <w:sz w:val="24"/>
              </w:rPr>
            </w:pPr>
            <w:r>
              <w:rPr>
                <w:rFonts w:hint="eastAsia" w:eastAsiaTheme="minorEastAsia"/>
                <w:kern w:val="0"/>
                <w:sz w:val="24"/>
              </w:rPr>
              <w:t>2022</w:t>
            </w:r>
          </w:p>
        </w:tc>
        <w:tc>
          <w:tcPr>
            <w:tcW w:w="1255" w:type="dxa"/>
            <w:vAlign w:val="center"/>
          </w:tcPr>
          <w:p>
            <w:pPr>
              <w:widowControl/>
              <w:jc w:val="center"/>
              <w:rPr>
                <w:rFonts w:eastAsiaTheme="minorEastAsia"/>
                <w:kern w:val="0"/>
                <w:sz w:val="24"/>
              </w:rPr>
            </w:pPr>
            <w:r>
              <w:rPr>
                <w:rFonts w:hint="eastAsia" w:eastAsiaTheme="minorEastAsia"/>
                <w:kern w:val="0"/>
                <w:sz w:val="24"/>
              </w:rPr>
              <w:t>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64" w:hRule="atLeast"/>
          <w:jc w:val="center"/>
        </w:trPr>
        <w:tc>
          <w:tcPr>
            <w:tcW w:w="2092" w:type="dxa"/>
            <w:vAlign w:val="center"/>
          </w:tcPr>
          <w:p>
            <w:pPr>
              <w:widowControl/>
              <w:jc w:val="center"/>
              <w:rPr>
                <w:rFonts w:eastAsiaTheme="minorEastAsia"/>
                <w:kern w:val="0"/>
                <w:sz w:val="24"/>
              </w:rPr>
            </w:pPr>
            <w:r>
              <w:rPr>
                <w:rFonts w:eastAsiaTheme="minorEastAsia"/>
                <w:kern w:val="0"/>
                <w:sz w:val="24"/>
              </w:rPr>
              <w:t>石龙湖流域综合治理</w:t>
            </w:r>
            <w:r>
              <w:rPr>
                <w:rFonts w:hint="eastAsia" w:eastAsiaTheme="minorEastAsia"/>
                <w:kern w:val="0"/>
                <w:sz w:val="24"/>
              </w:rPr>
              <w:t>工程</w:t>
            </w:r>
          </w:p>
        </w:tc>
        <w:tc>
          <w:tcPr>
            <w:tcW w:w="2835" w:type="dxa"/>
            <w:vAlign w:val="center"/>
          </w:tcPr>
          <w:p>
            <w:pPr>
              <w:widowControl/>
              <w:jc w:val="left"/>
              <w:rPr>
                <w:rFonts w:eastAsiaTheme="minorEastAsia"/>
                <w:kern w:val="0"/>
                <w:sz w:val="24"/>
              </w:rPr>
            </w:pPr>
            <w:r>
              <w:rPr>
                <w:rFonts w:eastAsiaTheme="minorEastAsia"/>
                <w:kern w:val="0"/>
                <w:sz w:val="24"/>
              </w:rPr>
              <w:t>主要包括引河入湖、破堤扩湖、环路展湖、吊桥、节制闸及石龙湖湿地清淤、生态修复、违建拆除、水质改善等</w:t>
            </w:r>
            <w:r>
              <w:rPr>
                <w:rFonts w:hint="eastAsia" w:eastAsiaTheme="minorEastAsia"/>
                <w:kern w:val="0"/>
                <w:sz w:val="24"/>
              </w:rPr>
              <w:t>。</w:t>
            </w:r>
          </w:p>
        </w:tc>
        <w:tc>
          <w:tcPr>
            <w:tcW w:w="1324" w:type="dxa"/>
            <w:vAlign w:val="center"/>
          </w:tcPr>
          <w:p>
            <w:pPr>
              <w:widowControl/>
              <w:jc w:val="center"/>
              <w:rPr>
                <w:rFonts w:eastAsiaTheme="minorEastAsia"/>
                <w:kern w:val="0"/>
                <w:sz w:val="24"/>
              </w:rPr>
            </w:pPr>
            <w:r>
              <w:rPr>
                <w:rFonts w:hint="eastAsia" w:eastAsiaTheme="minorEastAsia"/>
                <w:kern w:val="0"/>
                <w:sz w:val="24"/>
              </w:rPr>
              <w:t>泗县人民政府</w:t>
            </w:r>
          </w:p>
        </w:tc>
        <w:tc>
          <w:tcPr>
            <w:tcW w:w="1022" w:type="dxa"/>
            <w:vAlign w:val="center"/>
          </w:tcPr>
          <w:p>
            <w:pPr>
              <w:widowControl/>
              <w:jc w:val="center"/>
              <w:rPr>
                <w:rFonts w:eastAsiaTheme="minorEastAsia"/>
                <w:kern w:val="0"/>
                <w:sz w:val="24"/>
              </w:rPr>
            </w:pPr>
            <w:r>
              <w:rPr>
                <w:rFonts w:hint="eastAsia" w:eastAsiaTheme="minorEastAsia"/>
                <w:kern w:val="0"/>
                <w:sz w:val="24"/>
              </w:rPr>
              <w:t>2022</w:t>
            </w:r>
          </w:p>
        </w:tc>
        <w:tc>
          <w:tcPr>
            <w:tcW w:w="1255" w:type="dxa"/>
            <w:vAlign w:val="center"/>
          </w:tcPr>
          <w:p>
            <w:pPr>
              <w:widowControl/>
              <w:jc w:val="center"/>
              <w:rPr>
                <w:rFonts w:eastAsiaTheme="minorEastAsia"/>
                <w:kern w:val="0"/>
                <w:sz w:val="24"/>
              </w:rPr>
            </w:pPr>
            <w:r>
              <w:rPr>
                <w:rFonts w:hint="eastAsia" w:eastAsiaTheme="minorEastAsia"/>
                <w:kern w:val="0"/>
                <w:sz w:val="24"/>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80" w:hRule="atLeast"/>
          <w:jc w:val="center"/>
        </w:trPr>
        <w:tc>
          <w:tcPr>
            <w:tcW w:w="7273" w:type="dxa"/>
            <w:gridSpan w:val="4"/>
            <w:vAlign w:val="center"/>
          </w:tcPr>
          <w:p>
            <w:pPr>
              <w:widowControl/>
              <w:jc w:val="center"/>
              <w:rPr>
                <w:rFonts w:eastAsiaTheme="minorEastAsia"/>
                <w:b/>
                <w:kern w:val="0"/>
                <w:sz w:val="24"/>
              </w:rPr>
            </w:pPr>
            <w:r>
              <w:rPr>
                <w:rFonts w:hint="eastAsia" w:eastAsiaTheme="minorEastAsia"/>
                <w:b/>
                <w:kern w:val="0"/>
                <w:sz w:val="24"/>
              </w:rPr>
              <w:t>合计</w:t>
            </w:r>
          </w:p>
        </w:tc>
        <w:tc>
          <w:tcPr>
            <w:tcW w:w="1255" w:type="dxa"/>
            <w:vAlign w:val="center"/>
          </w:tcPr>
          <w:p>
            <w:pPr>
              <w:widowControl/>
              <w:jc w:val="center"/>
              <w:rPr>
                <w:rFonts w:eastAsiaTheme="minorEastAsia"/>
                <w:b/>
                <w:kern w:val="0"/>
                <w:sz w:val="24"/>
              </w:rPr>
            </w:pPr>
            <w:r>
              <w:rPr>
                <w:rFonts w:hint="eastAsia" w:eastAsiaTheme="minorEastAsia"/>
                <w:b/>
                <w:kern w:val="0"/>
                <w:sz w:val="24"/>
              </w:rPr>
              <w:t>61000</w:t>
            </w:r>
          </w:p>
        </w:tc>
      </w:tr>
    </w:tbl>
    <w:p>
      <w:pPr>
        <w:pStyle w:val="2"/>
        <w:spacing w:after="0" w:line="240" w:lineRule="auto"/>
        <w:ind w:left="0" w:leftChars="0"/>
      </w:pPr>
    </w:p>
    <w:p>
      <w:pPr>
        <w:pStyle w:val="4"/>
        <w:spacing w:before="312" w:after="312"/>
        <w:rPr>
          <w:rFonts w:eastAsiaTheme="minorEastAsia"/>
        </w:rPr>
      </w:pPr>
      <w:bookmarkStart w:id="139" w:name="_Toc84536550"/>
      <w:r>
        <w:rPr>
          <w:rFonts w:hint="eastAsia" w:eastAsiaTheme="minorEastAsia"/>
        </w:rPr>
        <w:t xml:space="preserve">4.5 </w:t>
      </w:r>
      <w:r>
        <w:rPr>
          <w:rFonts w:eastAsiaTheme="minorEastAsia"/>
        </w:rPr>
        <w:t>加强</w:t>
      </w:r>
      <w:r>
        <w:rPr>
          <w:rFonts w:hint="eastAsia" w:eastAsiaTheme="minorEastAsia"/>
        </w:rPr>
        <w:t>水生态环境监测</w:t>
      </w:r>
      <w:bookmarkEnd w:id="139"/>
    </w:p>
    <w:p>
      <w:pPr>
        <w:adjustRightInd w:val="0"/>
        <w:spacing w:line="360" w:lineRule="auto"/>
        <w:ind w:firstLine="560" w:firstLineChars="200"/>
        <w:jc w:val="left"/>
        <w:rPr>
          <w:rFonts w:eastAsiaTheme="minorEastAsia"/>
          <w:sz w:val="28"/>
          <w:szCs w:val="28"/>
        </w:rPr>
      </w:pPr>
      <w:r>
        <w:rPr>
          <w:rFonts w:hint="eastAsia" w:eastAsiaTheme="minorEastAsia"/>
          <w:sz w:val="28"/>
          <w:szCs w:val="28"/>
        </w:rPr>
        <w:t>根据大运河宿州段的汇水范围以及水环境监测站点的布点原则，本方案计划对大运河宿州段泗县境内建设5个县级微型监测点，分别为大运河唐河交汇处：（</w:t>
      </w:r>
      <w:r>
        <w:rPr>
          <w:sz w:val="28"/>
          <w:szCs w:val="28"/>
        </w:rPr>
        <w:t>N</w:t>
      </w:r>
      <w:r>
        <w:rPr>
          <w:rFonts w:hint="eastAsia"/>
          <w:sz w:val="28"/>
          <w:szCs w:val="28"/>
        </w:rPr>
        <w:t>：</w:t>
      </w:r>
      <w:r>
        <w:rPr>
          <w:rFonts w:hint="eastAsia"/>
          <w:color w:val="000000"/>
          <w:sz w:val="28"/>
          <w:szCs w:val="28"/>
        </w:rPr>
        <w:t>33</w:t>
      </w:r>
      <w:r>
        <w:rPr>
          <w:color w:val="000000"/>
          <w:sz w:val="28"/>
          <w:szCs w:val="28"/>
        </w:rPr>
        <w:t>°</w:t>
      </w:r>
      <w:r>
        <w:rPr>
          <w:rFonts w:hint="eastAsia"/>
          <w:color w:val="000000"/>
          <w:sz w:val="28"/>
          <w:szCs w:val="28"/>
        </w:rPr>
        <w:t>31</w:t>
      </w:r>
      <w:r>
        <w:rPr>
          <w:color w:val="000000"/>
          <w:sz w:val="28"/>
          <w:szCs w:val="28"/>
        </w:rPr>
        <w:t>′</w:t>
      </w:r>
      <w:r>
        <w:rPr>
          <w:rFonts w:hint="eastAsia"/>
          <w:color w:val="000000"/>
          <w:sz w:val="28"/>
          <w:szCs w:val="28"/>
        </w:rPr>
        <w:t>30</w:t>
      </w:r>
      <w:r>
        <w:rPr>
          <w:color w:val="000000"/>
          <w:sz w:val="28"/>
          <w:szCs w:val="28"/>
        </w:rPr>
        <w:t>″</w:t>
      </w:r>
      <w:r>
        <w:rPr>
          <w:rFonts w:hint="eastAsia"/>
          <w:sz w:val="28"/>
          <w:szCs w:val="28"/>
        </w:rPr>
        <w:t>，</w:t>
      </w:r>
      <w:r>
        <w:rPr>
          <w:sz w:val="28"/>
          <w:szCs w:val="28"/>
        </w:rPr>
        <w:t>E：</w:t>
      </w:r>
      <w:r>
        <w:rPr>
          <w:rFonts w:hint="eastAsia"/>
          <w:color w:val="000000"/>
          <w:sz w:val="28"/>
          <w:szCs w:val="28"/>
        </w:rPr>
        <w:t>117</w:t>
      </w:r>
      <w:r>
        <w:rPr>
          <w:color w:val="000000"/>
          <w:sz w:val="28"/>
          <w:szCs w:val="28"/>
        </w:rPr>
        <w:t>°</w:t>
      </w:r>
      <w:r>
        <w:rPr>
          <w:rFonts w:hint="eastAsia"/>
          <w:color w:val="000000"/>
          <w:sz w:val="28"/>
          <w:szCs w:val="28"/>
        </w:rPr>
        <w:t>39</w:t>
      </w:r>
      <w:r>
        <w:rPr>
          <w:color w:val="000000"/>
          <w:sz w:val="28"/>
          <w:szCs w:val="28"/>
        </w:rPr>
        <w:t>′</w:t>
      </w:r>
      <w:r>
        <w:rPr>
          <w:rFonts w:hint="eastAsia"/>
          <w:color w:val="000000"/>
          <w:sz w:val="28"/>
          <w:szCs w:val="28"/>
        </w:rPr>
        <w:t>47</w:t>
      </w:r>
      <w:r>
        <w:rPr>
          <w:color w:val="000000"/>
          <w:sz w:val="28"/>
          <w:szCs w:val="28"/>
        </w:rPr>
        <w:t>″</w:t>
      </w:r>
      <w:r>
        <w:rPr>
          <w:rFonts w:hint="eastAsia" w:eastAsiaTheme="minorEastAsia"/>
          <w:sz w:val="28"/>
          <w:szCs w:val="28"/>
        </w:rPr>
        <w:t>）；大运河洪灵沟交汇处：（</w:t>
      </w:r>
      <w:r>
        <w:rPr>
          <w:sz w:val="28"/>
          <w:szCs w:val="28"/>
        </w:rPr>
        <w:t>N</w:t>
      </w:r>
      <w:r>
        <w:rPr>
          <w:rFonts w:hint="eastAsia"/>
          <w:sz w:val="28"/>
          <w:szCs w:val="28"/>
        </w:rPr>
        <w:t>：</w:t>
      </w:r>
      <w:r>
        <w:rPr>
          <w:rFonts w:hint="eastAsia"/>
          <w:color w:val="000000"/>
          <w:sz w:val="28"/>
          <w:szCs w:val="28"/>
        </w:rPr>
        <w:t>33</w:t>
      </w:r>
      <w:r>
        <w:rPr>
          <w:color w:val="000000"/>
          <w:sz w:val="28"/>
          <w:szCs w:val="28"/>
        </w:rPr>
        <w:t>°</w:t>
      </w:r>
      <w:r>
        <w:rPr>
          <w:rFonts w:hint="eastAsia"/>
          <w:color w:val="000000"/>
          <w:sz w:val="28"/>
          <w:szCs w:val="28"/>
        </w:rPr>
        <w:t>30</w:t>
      </w:r>
      <w:r>
        <w:rPr>
          <w:color w:val="000000"/>
          <w:sz w:val="28"/>
          <w:szCs w:val="28"/>
        </w:rPr>
        <w:t>′</w:t>
      </w:r>
      <w:r>
        <w:rPr>
          <w:rFonts w:hint="eastAsia"/>
          <w:color w:val="000000"/>
          <w:sz w:val="28"/>
          <w:szCs w:val="28"/>
        </w:rPr>
        <w:t>43</w:t>
      </w:r>
      <w:r>
        <w:rPr>
          <w:color w:val="000000"/>
          <w:sz w:val="28"/>
          <w:szCs w:val="28"/>
        </w:rPr>
        <w:t>″</w:t>
      </w:r>
      <w:r>
        <w:rPr>
          <w:rFonts w:hint="eastAsia"/>
          <w:sz w:val="28"/>
          <w:szCs w:val="28"/>
        </w:rPr>
        <w:t>，</w:t>
      </w:r>
      <w:r>
        <w:rPr>
          <w:sz w:val="28"/>
          <w:szCs w:val="28"/>
        </w:rPr>
        <w:t>E：</w:t>
      </w:r>
      <w:r>
        <w:rPr>
          <w:rFonts w:hint="eastAsia"/>
          <w:color w:val="000000"/>
          <w:sz w:val="28"/>
          <w:szCs w:val="28"/>
        </w:rPr>
        <w:t>117</w:t>
      </w:r>
      <w:r>
        <w:rPr>
          <w:color w:val="000000"/>
          <w:sz w:val="28"/>
          <w:szCs w:val="28"/>
        </w:rPr>
        <w:t>°</w:t>
      </w:r>
      <w:r>
        <w:rPr>
          <w:rFonts w:hint="eastAsia"/>
          <w:color w:val="000000"/>
          <w:sz w:val="28"/>
          <w:szCs w:val="28"/>
        </w:rPr>
        <w:t>43</w:t>
      </w:r>
      <w:r>
        <w:rPr>
          <w:color w:val="000000"/>
          <w:sz w:val="28"/>
          <w:szCs w:val="28"/>
        </w:rPr>
        <w:t>′</w:t>
      </w:r>
      <w:r>
        <w:rPr>
          <w:rFonts w:hint="eastAsia"/>
          <w:color w:val="000000"/>
          <w:sz w:val="28"/>
          <w:szCs w:val="28"/>
        </w:rPr>
        <w:t>9</w:t>
      </w:r>
      <w:r>
        <w:rPr>
          <w:color w:val="000000"/>
          <w:sz w:val="28"/>
          <w:szCs w:val="28"/>
        </w:rPr>
        <w:t>″</w:t>
      </w:r>
      <w:r>
        <w:rPr>
          <w:rFonts w:hint="eastAsia" w:eastAsiaTheme="minorEastAsia"/>
          <w:sz w:val="28"/>
          <w:szCs w:val="28"/>
        </w:rPr>
        <w:t>）；泗州桥：（</w:t>
      </w:r>
      <w:r>
        <w:rPr>
          <w:sz w:val="28"/>
          <w:szCs w:val="28"/>
        </w:rPr>
        <w:t>N</w:t>
      </w:r>
      <w:r>
        <w:rPr>
          <w:rFonts w:hint="eastAsia"/>
          <w:sz w:val="28"/>
          <w:szCs w:val="28"/>
        </w:rPr>
        <w:t>：</w:t>
      </w:r>
      <w:r>
        <w:rPr>
          <w:rFonts w:hint="eastAsia"/>
          <w:color w:val="000000"/>
          <w:sz w:val="28"/>
          <w:szCs w:val="28"/>
        </w:rPr>
        <w:t>33</w:t>
      </w:r>
      <w:r>
        <w:rPr>
          <w:color w:val="000000"/>
          <w:sz w:val="28"/>
          <w:szCs w:val="28"/>
        </w:rPr>
        <w:t>°</w:t>
      </w:r>
      <w:r>
        <w:rPr>
          <w:rFonts w:hint="eastAsia"/>
          <w:color w:val="000000"/>
          <w:sz w:val="28"/>
          <w:szCs w:val="28"/>
        </w:rPr>
        <w:t>28</w:t>
      </w:r>
      <w:r>
        <w:rPr>
          <w:color w:val="000000"/>
          <w:sz w:val="28"/>
          <w:szCs w:val="28"/>
        </w:rPr>
        <w:t>′</w:t>
      </w:r>
      <w:r>
        <w:rPr>
          <w:rFonts w:hint="eastAsia"/>
          <w:color w:val="000000"/>
          <w:sz w:val="28"/>
          <w:szCs w:val="28"/>
        </w:rPr>
        <w:t>55</w:t>
      </w:r>
      <w:r>
        <w:rPr>
          <w:color w:val="000000"/>
          <w:sz w:val="28"/>
          <w:szCs w:val="28"/>
        </w:rPr>
        <w:t>″</w:t>
      </w:r>
      <w:r>
        <w:rPr>
          <w:rFonts w:hint="eastAsia"/>
          <w:sz w:val="28"/>
          <w:szCs w:val="28"/>
        </w:rPr>
        <w:t>，</w:t>
      </w:r>
      <w:r>
        <w:rPr>
          <w:sz w:val="28"/>
          <w:szCs w:val="28"/>
        </w:rPr>
        <w:t>E：</w:t>
      </w:r>
      <w:r>
        <w:rPr>
          <w:rFonts w:hint="eastAsia"/>
          <w:color w:val="000000"/>
          <w:sz w:val="28"/>
          <w:szCs w:val="28"/>
        </w:rPr>
        <w:t>117</w:t>
      </w:r>
      <w:r>
        <w:rPr>
          <w:color w:val="000000"/>
          <w:sz w:val="28"/>
          <w:szCs w:val="28"/>
        </w:rPr>
        <w:t>°</w:t>
      </w:r>
      <w:r>
        <w:rPr>
          <w:rFonts w:hint="eastAsia"/>
          <w:color w:val="000000"/>
          <w:sz w:val="28"/>
          <w:szCs w:val="28"/>
        </w:rPr>
        <w:t>52</w:t>
      </w:r>
      <w:r>
        <w:rPr>
          <w:color w:val="000000"/>
          <w:sz w:val="28"/>
          <w:szCs w:val="28"/>
        </w:rPr>
        <w:t>′</w:t>
      </w:r>
      <w:r>
        <w:rPr>
          <w:rFonts w:hint="eastAsia"/>
          <w:color w:val="000000"/>
          <w:sz w:val="28"/>
          <w:szCs w:val="28"/>
        </w:rPr>
        <w:t>40</w:t>
      </w:r>
      <w:r>
        <w:rPr>
          <w:color w:val="000000"/>
          <w:sz w:val="28"/>
          <w:szCs w:val="28"/>
        </w:rPr>
        <w:t>″</w:t>
      </w:r>
      <w:r>
        <w:rPr>
          <w:rFonts w:hint="eastAsia" w:eastAsiaTheme="minorEastAsia"/>
          <w:sz w:val="28"/>
          <w:szCs w:val="28"/>
        </w:rPr>
        <w:t>）；东关桥：（</w:t>
      </w:r>
      <w:r>
        <w:rPr>
          <w:sz w:val="28"/>
          <w:szCs w:val="28"/>
        </w:rPr>
        <w:t>N</w:t>
      </w:r>
      <w:r>
        <w:rPr>
          <w:rFonts w:hint="eastAsia"/>
          <w:sz w:val="28"/>
          <w:szCs w:val="28"/>
        </w:rPr>
        <w:t>：</w:t>
      </w:r>
      <w:r>
        <w:rPr>
          <w:rFonts w:hint="eastAsia"/>
          <w:color w:val="000000"/>
          <w:sz w:val="28"/>
          <w:szCs w:val="28"/>
        </w:rPr>
        <w:t>33</w:t>
      </w:r>
      <w:r>
        <w:rPr>
          <w:color w:val="000000"/>
          <w:sz w:val="28"/>
          <w:szCs w:val="28"/>
        </w:rPr>
        <w:t>°</w:t>
      </w:r>
      <w:r>
        <w:rPr>
          <w:rFonts w:hint="eastAsia"/>
          <w:color w:val="000000"/>
          <w:sz w:val="28"/>
          <w:szCs w:val="28"/>
        </w:rPr>
        <w:t>28</w:t>
      </w:r>
      <w:r>
        <w:rPr>
          <w:color w:val="000000"/>
          <w:sz w:val="28"/>
          <w:szCs w:val="28"/>
        </w:rPr>
        <w:t>′</w:t>
      </w:r>
      <w:r>
        <w:rPr>
          <w:rFonts w:hint="eastAsia"/>
          <w:color w:val="000000"/>
          <w:sz w:val="28"/>
          <w:szCs w:val="28"/>
        </w:rPr>
        <w:t>58</w:t>
      </w:r>
      <w:r>
        <w:rPr>
          <w:color w:val="000000"/>
          <w:sz w:val="28"/>
          <w:szCs w:val="28"/>
        </w:rPr>
        <w:t>″</w:t>
      </w:r>
      <w:r>
        <w:rPr>
          <w:rFonts w:hint="eastAsia"/>
          <w:sz w:val="28"/>
          <w:szCs w:val="28"/>
        </w:rPr>
        <w:t>，</w:t>
      </w:r>
      <w:r>
        <w:rPr>
          <w:sz w:val="28"/>
          <w:szCs w:val="28"/>
        </w:rPr>
        <w:t>E：</w:t>
      </w:r>
      <w:r>
        <w:rPr>
          <w:rFonts w:hint="eastAsia"/>
          <w:color w:val="000000"/>
          <w:sz w:val="28"/>
          <w:szCs w:val="28"/>
        </w:rPr>
        <w:t>117</w:t>
      </w:r>
      <w:r>
        <w:rPr>
          <w:color w:val="000000"/>
          <w:sz w:val="28"/>
          <w:szCs w:val="28"/>
        </w:rPr>
        <w:t>°</w:t>
      </w:r>
      <w:r>
        <w:rPr>
          <w:rFonts w:hint="eastAsia"/>
          <w:color w:val="000000"/>
          <w:sz w:val="28"/>
          <w:szCs w:val="28"/>
        </w:rPr>
        <w:t>53</w:t>
      </w:r>
      <w:r>
        <w:rPr>
          <w:color w:val="000000"/>
          <w:sz w:val="28"/>
          <w:szCs w:val="28"/>
        </w:rPr>
        <w:t>′</w:t>
      </w:r>
      <w:r>
        <w:rPr>
          <w:rFonts w:hint="eastAsia"/>
          <w:color w:val="000000"/>
          <w:sz w:val="28"/>
          <w:szCs w:val="28"/>
        </w:rPr>
        <w:t>18</w:t>
      </w:r>
      <w:r>
        <w:rPr>
          <w:color w:val="000000"/>
          <w:sz w:val="28"/>
          <w:szCs w:val="28"/>
        </w:rPr>
        <w:t>″</w:t>
      </w:r>
      <w:r>
        <w:rPr>
          <w:rFonts w:hint="eastAsia" w:eastAsiaTheme="minorEastAsia"/>
          <w:sz w:val="28"/>
          <w:szCs w:val="28"/>
        </w:rPr>
        <w:t>）；濉河大运河交汇处：（</w:t>
      </w:r>
      <w:r>
        <w:rPr>
          <w:sz w:val="28"/>
          <w:szCs w:val="28"/>
        </w:rPr>
        <w:t>N</w:t>
      </w:r>
      <w:r>
        <w:rPr>
          <w:rFonts w:hint="eastAsia"/>
          <w:sz w:val="28"/>
          <w:szCs w:val="28"/>
        </w:rPr>
        <w:t>：</w:t>
      </w:r>
      <w:r>
        <w:rPr>
          <w:rFonts w:hint="eastAsia"/>
          <w:color w:val="000000"/>
          <w:sz w:val="28"/>
          <w:szCs w:val="28"/>
        </w:rPr>
        <w:t>33</w:t>
      </w:r>
      <w:r>
        <w:rPr>
          <w:color w:val="000000"/>
          <w:sz w:val="28"/>
          <w:szCs w:val="28"/>
        </w:rPr>
        <w:t>°</w:t>
      </w:r>
      <w:r>
        <w:rPr>
          <w:rFonts w:hint="eastAsia"/>
          <w:color w:val="000000"/>
          <w:sz w:val="28"/>
          <w:szCs w:val="28"/>
        </w:rPr>
        <w:t>31</w:t>
      </w:r>
      <w:r>
        <w:rPr>
          <w:color w:val="000000"/>
          <w:sz w:val="28"/>
          <w:szCs w:val="28"/>
        </w:rPr>
        <w:t>′</w:t>
      </w:r>
      <w:r>
        <w:rPr>
          <w:rFonts w:hint="eastAsia"/>
          <w:color w:val="000000"/>
          <w:sz w:val="28"/>
          <w:szCs w:val="28"/>
        </w:rPr>
        <w:t>30</w:t>
      </w:r>
      <w:r>
        <w:rPr>
          <w:color w:val="000000"/>
          <w:sz w:val="28"/>
          <w:szCs w:val="28"/>
        </w:rPr>
        <w:t>″</w:t>
      </w:r>
      <w:r>
        <w:rPr>
          <w:rFonts w:hint="eastAsia"/>
          <w:sz w:val="28"/>
          <w:szCs w:val="28"/>
        </w:rPr>
        <w:t>，</w:t>
      </w:r>
      <w:r>
        <w:rPr>
          <w:sz w:val="28"/>
          <w:szCs w:val="28"/>
        </w:rPr>
        <w:t>E：</w:t>
      </w:r>
      <w:r>
        <w:rPr>
          <w:rFonts w:hint="eastAsia"/>
          <w:color w:val="000000"/>
          <w:sz w:val="28"/>
          <w:szCs w:val="28"/>
        </w:rPr>
        <w:t>117</w:t>
      </w:r>
      <w:r>
        <w:rPr>
          <w:color w:val="000000"/>
          <w:sz w:val="28"/>
          <w:szCs w:val="28"/>
        </w:rPr>
        <w:t>°</w:t>
      </w:r>
      <w:r>
        <w:rPr>
          <w:rFonts w:hint="eastAsia"/>
          <w:color w:val="000000"/>
          <w:sz w:val="28"/>
          <w:szCs w:val="28"/>
        </w:rPr>
        <w:t>39</w:t>
      </w:r>
      <w:r>
        <w:rPr>
          <w:color w:val="000000"/>
          <w:sz w:val="28"/>
          <w:szCs w:val="28"/>
        </w:rPr>
        <w:t>′</w:t>
      </w:r>
      <w:r>
        <w:rPr>
          <w:rFonts w:hint="eastAsia"/>
          <w:color w:val="000000"/>
          <w:sz w:val="28"/>
          <w:szCs w:val="28"/>
        </w:rPr>
        <w:t>47</w:t>
      </w:r>
      <w:r>
        <w:rPr>
          <w:color w:val="000000"/>
          <w:sz w:val="28"/>
          <w:szCs w:val="28"/>
        </w:rPr>
        <w:t>″</w:t>
      </w:r>
      <w:r>
        <w:rPr>
          <w:rFonts w:hint="eastAsia" w:eastAsiaTheme="minorEastAsia"/>
          <w:sz w:val="28"/>
          <w:szCs w:val="28"/>
        </w:rPr>
        <w:t>）；具体位置见图4-1。大运河洪灵沟交汇处、泗州桥、东关桥断面水质目标定为Ⅳ类，达标年限为2025年，大运河唐河交汇处断面水质目标定为Ⅳ类，达标年限为2023年，濉河大运河交汇处断面水质目标定为Ⅳ类，达标年限为2021年。</w:t>
      </w:r>
    </w:p>
    <w:p>
      <w:pPr>
        <w:spacing w:line="360" w:lineRule="auto"/>
        <w:ind w:firstLine="560" w:firstLineChars="200"/>
        <w:rPr>
          <w:rFonts w:ascii="宋体" w:hAnsi="宋体"/>
          <w:sz w:val="28"/>
          <w:szCs w:val="28"/>
        </w:rPr>
      </w:pPr>
      <w:r>
        <w:rPr>
          <w:rFonts w:hint="eastAsia" w:ascii="宋体" w:hAnsi="宋体"/>
          <w:sz w:val="28"/>
          <w:szCs w:val="28"/>
        </w:rPr>
        <w:t>按照国家对水质监测指标标准要求，监测指标所需的仪器设备和对应监测指标的仪器设备如</w:t>
      </w:r>
      <w:r>
        <w:rPr>
          <w:rFonts w:hint="eastAsia" w:eastAsiaTheme="minorEastAsia"/>
          <w:sz w:val="28"/>
          <w:szCs w:val="28"/>
        </w:rPr>
        <w:t>下表4-10所示。</w:t>
      </w:r>
    </w:p>
    <w:p>
      <w:pPr>
        <w:spacing w:line="360" w:lineRule="auto"/>
        <w:jc w:val="center"/>
        <w:rPr>
          <w:b/>
          <w:bCs/>
          <w:sz w:val="24"/>
        </w:rPr>
      </w:pPr>
    </w:p>
    <w:p>
      <w:pPr>
        <w:spacing w:line="360" w:lineRule="auto"/>
        <w:jc w:val="center"/>
        <w:rPr>
          <w:b/>
          <w:bCs/>
          <w:sz w:val="24"/>
        </w:rPr>
      </w:pPr>
      <w:r>
        <w:rPr>
          <w:rFonts w:hint="eastAsia"/>
          <w:b/>
          <w:bCs/>
          <w:sz w:val="24"/>
        </w:rPr>
        <w:t>表</w:t>
      </w:r>
      <w:r>
        <w:rPr>
          <w:b/>
          <w:bCs/>
          <w:sz w:val="24"/>
        </w:rPr>
        <w:t>4</w:t>
      </w:r>
      <w:r>
        <w:rPr>
          <w:rFonts w:hint="eastAsia"/>
          <w:b/>
          <w:bCs/>
          <w:sz w:val="24"/>
        </w:rPr>
        <w:t>-10</w:t>
      </w:r>
      <w:r>
        <w:rPr>
          <w:b/>
          <w:bCs/>
          <w:sz w:val="24"/>
        </w:rPr>
        <w:t xml:space="preserve">  </w:t>
      </w:r>
      <w:r>
        <w:rPr>
          <w:rFonts w:hint="eastAsia"/>
          <w:b/>
          <w:bCs/>
          <w:sz w:val="24"/>
        </w:rPr>
        <w:t>监测系统仪器设备一览表</w:t>
      </w:r>
    </w:p>
    <w:tbl>
      <w:tblPr>
        <w:tblStyle w:val="29"/>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34"/>
        <w:gridCol w:w="993"/>
        <w:gridCol w:w="3038"/>
        <w:gridCol w:w="22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2234" w:type="dxa"/>
            <w:tcBorders>
              <w:top w:val="single" w:color="auto" w:sz="4" w:space="0"/>
              <w:left w:val="single" w:color="auto" w:sz="4" w:space="0"/>
              <w:bottom w:val="single" w:color="auto" w:sz="4" w:space="0"/>
              <w:right w:val="single" w:color="auto" w:sz="4" w:space="0"/>
            </w:tcBorders>
            <w:vAlign w:val="center"/>
          </w:tcPr>
          <w:p>
            <w:pPr>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类别</w:t>
            </w:r>
          </w:p>
        </w:tc>
        <w:tc>
          <w:tcPr>
            <w:tcW w:w="993" w:type="dxa"/>
            <w:tcBorders>
              <w:top w:val="single" w:color="auto" w:sz="4" w:space="0"/>
              <w:left w:val="single" w:color="auto" w:sz="4" w:space="0"/>
              <w:bottom w:val="single" w:color="auto" w:sz="4" w:space="0"/>
              <w:right w:val="single" w:color="auto" w:sz="4" w:space="0"/>
            </w:tcBorders>
            <w:vAlign w:val="center"/>
          </w:tcPr>
          <w:p>
            <w:pPr>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序号</w:t>
            </w:r>
          </w:p>
        </w:tc>
        <w:tc>
          <w:tcPr>
            <w:tcW w:w="3038" w:type="dxa"/>
            <w:tcBorders>
              <w:top w:val="single" w:color="auto" w:sz="4" w:space="0"/>
              <w:left w:val="single" w:color="auto" w:sz="4" w:space="0"/>
              <w:bottom w:val="single" w:color="auto" w:sz="4" w:space="0"/>
              <w:right w:val="single" w:color="auto" w:sz="4" w:space="0"/>
            </w:tcBorders>
            <w:vAlign w:val="center"/>
          </w:tcPr>
          <w:p>
            <w:pPr>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仪器名称</w:t>
            </w:r>
          </w:p>
        </w:tc>
        <w:tc>
          <w:tcPr>
            <w:tcW w:w="2263" w:type="dxa"/>
            <w:tcBorders>
              <w:top w:val="single" w:color="auto" w:sz="4" w:space="0"/>
              <w:left w:val="single" w:color="auto" w:sz="4" w:space="0"/>
              <w:bottom w:val="single" w:color="auto" w:sz="4" w:space="0"/>
              <w:right w:val="single" w:color="auto" w:sz="4" w:space="0"/>
            </w:tcBorders>
            <w:vAlign w:val="center"/>
          </w:tcPr>
          <w:p>
            <w:pPr>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测量指标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34" w:type="dxa"/>
            <w:vMerge w:val="restart"/>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水环境监测设备</w:t>
            </w:r>
          </w:p>
        </w:tc>
        <w:tc>
          <w:tcPr>
            <w:tcW w:w="993"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1</w:t>
            </w:r>
          </w:p>
        </w:tc>
        <w:tc>
          <w:tcPr>
            <w:tcW w:w="3038"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在线五参数分析仪</w:t>
            </w:r>
          </w:p>
        </w:tc>
        <w:tc>
          <w:tcPr>
            <w:tcW w:w="2263"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水温、pH、DO、电导率、浊度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34" w:type="dxa"/>
            <w:vMerge w:val="continue"/>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p>
        </w:tc>
        <w:tc>
          <w:tcPr>
            <w:tcW w:w="993"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2</w:t>
            </w:r>
          </w:p>
        </w:tc>
        <w:tc>
          <w:tcPr>
            <w:tcW w:w="3038"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高锰酸盐指数在线监测仪</w:t>
            </w:r>
          </w:p>
        </w:tc>
        <w:tc>
          <w:tcPr>
            <w:tcW w:w="2263"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高锰酸盐指数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34" w:type="dxa"/>
            <w:vMerge w:val="continue"/>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p>
        </w:tc>
        <w:tc>
          <w:tcPr>
            <w:tcW w:w="993"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3</w:t>
            </w:r>
          </w:p>
        </w:tc>
        <w:tc>
          <w:tcPr>
            <w:tcW w:w="3038"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化学需氧量在线监测仪</w:t>
            </w:r>
          </w:p>
        </w:tc>
        <w:tc>
          <w:tcPr>
            <w:tcW w:w="2263"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化学需氧量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34" w:type="dxa"/>
            <w:vMerge w:val="continue"/>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p>
        </w:tc>
        <w:tc>
          <w:tcPr>
            <w:tcW w:w="993"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4</w:t>
            </w:r>
          </w:p>
        </w:tc>
        <w:tc>
          <w:tcPr>
            <w:tcW w:w="3038"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氨氮在线监测仪</w:t>
            </w:r>
          </w:p>
        </w:tc>
        <w:tc>
          <w:tcPr>
            <w:tcW w:w="2263"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34" w:type="dxa"/>
            <w:vMerge w:val="continue"/>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p>
        </w:tc>
        <w:tc>
          <w:tcPr>
            <w:tcW w:w="993"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5</w:t>
            </w:r>
          </w:p>
        </w:tc>
        <w:tc>
          <w:tcPr>
            <w:tcW w:w="3038"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总氮在线监测仪</w:t>
            </w:r>
          </w:p>
        </w:tc>
        <w:tc>
          <w:tcPr>
            <w:tcW w:w="2263"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总氮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34" w:type="dxa"/>
            <w:vMerge w:val="continue"/>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p>
        </w:tc>
        <w:tc>
          <w:tcPr>
            <w:tcW w:w="993"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6</w:t>
            </w:r>
          </w:p>
        </w:tc>
        <w:tc>
          <w:tcPr>
            <w:tcW w:w="3038"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总磷在线监测仪</w:t>
            </w:r>
          </w:p>
        </w:tc>
        <w:tc>
          <w:tcPr>
            <w:tcW w:w="2263"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总磷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34" w:type="dxa"/>
            <w:vMerge w:val="continue"/>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p>
        </w:tc>
        <w:tc>
          <w:tcPr>
            <w:tcW w:w="993"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7</w:t>
            </w:r>
          </w:p>
        </w:tc>
        <w:tc>
          <w:tcPr>
            <w:tcW w:w="3038"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一体化监测传感器</w:t>
            </w:r>
          </w:p>
        </w:tc>
        <w:tc>
          <w:tcPr>
            <w:tcW w:w="2263"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无线传输数据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34"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微型监测设备</w:t>
            </w:r>
          </w:p>
        </w:tc>
        <w:tc>
          <w:tcPr>
            <w:tcW w:w="993"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8</w:t>
            </w:r>
          </w:p>
        </w:tc>
        <w:tc>
          <w:tcPr>
            <w:tcW w:w="3038"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水微型自动监测仪</w:t>
            </w:r>
          </w:p>
        </w:tc>
        <w:tc>
          <w:tcPr>
            <w:tcW w:w="2263" w:type="dxa"/>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DO、COD、氨氮、总磷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34" w:type="dxa"/>
            <w:tcBorders>
              <w:top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监测网络管理平台</w:t>
            </w:r>
          </w:p>
        </w:tc>
        <w:tc>
          <w:tcPr>
            <w:tcW w:w="993" w:type="dxa"/>
            <w:tcBorders>
              <w:top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9</w:t>
            </w:r>
          </w:p>
        </w:tc>
        <w:tc>
          <w:tcPr>
            <w:tcW w:w="3038" w:type="dxa"/>
            <w:tcBorders>
              <w:top w:val="single" w:color="auto" w:sz="4" w:space="0"/>
            </w:tcBorders>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收集数据及分平台</w:t>
            </w:r>
          </w:p>
        </w:tc>
        <w:tc>
          <w:tcPr>
            <w:tcW w:w="2263" w:type="dxa"/>
            <w:tcBorders>
              <w:top w:val="single" w:color="auto" w:sz="4" w:space="0"/>
            </w:tcBorders>
            <w:vAlign w:val="center"/>
          </w:tcPr>
          <w:p>
            <w:pPr>
              <w:jc w:val="center"/>
              <w:rPr>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2234" w:type="dxa"/>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监控设备</w:t>
            </w:r>
          </w:p>
        </w:tc>
        <w:tc>
          <w:tcPr>
            <w:tcW w:w="993" w:type="dxa"/>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10</w:t>
            </w:r>
          </w:p>
        </w:tc>
        <w:tc>
          <w:tcPr>
            <w:tcW w:w="3038" w:type="dxa"/>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远程监控</w:t>
            </w:r>
          </w:p>
        </w:tc>
        <w:tc>
          <w:tcPr>
            <w:tcW w:w="2263" w:type="dxa"/>
            <w:vAlign w:val="center"/>
          </w:tcPr>
          <w:p>
            <w:pPr>
              <w:jc w:val="center"/>
              <w:rPr>
                <w:color w:val="000000" w:themeColor="text1"/>
                <w:sz w:val="24"/>
                <w14:textFill>
                  <w14:solidFill>
                    <w14:schemeClr w14:val="tx1"/>
                  </w14:solidFill>
                </w14:textFill>
              </w:rPr>
            </w:pPr>
          </w:p>
        </w:tc>
      </w:tr>
    </w:tbl>
    <w:p>
      <w:pPr>
        <w:ind w:firstLine="480" w:firstLineChars="200"/>
        <w:jc w:val="left"/>
        <w:rPr>
          <w:color w:val="000000" w:themeColor="text1"/>
          <w:sz w:val="24"/>
          <w14:textFill>
            <w14:solidFill>
              <w14:schemeClr w14:val="tx1"/>
            </w14:solidFill>
          </w14:textFill>
        </w:rPr>
      </w:pPr>
    </w:p>
    <w:p>
      <w:pPr>
        <w:ind w:firstLine="560" w:firstLineChars="200"/>
        <w:jc w:val="left"/>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大运河宿州段水生态环境监测网络建设概算如表4-11所示，总体投资为9项，分别为监测站点建设、监测网络管理平台建设、水环境监测设备、实验室检测设备与药剂、</w:t>
      </w:r>
      <w:r>
        <w:rPr>
          <w:color w:val="000000" w:themeColor="text1"/>
          <w:sz w:val="28"/>
          <w:szCs w:val="28"/>
          <w14:textFill>
            <w14:solidFill>
              <w14:schemeClr w14:val="tx1"/>
            </w14:solidFill>
          </w14:textFill>
        </w:rPr>
        <w:t>实验便携式检测设备</w:t>
      </w:r>
      <w:r>
        <w:rPr>
          <w:rFonts w:hint="eastAsia"/>
          <w:color w:val="000000" w:themeColor="text1"/>
          <w:sz w:val="28"/>
          <w:szCs w:val="28"/>
          <w14:textFill>
            <w14:solidFill>
              <w14:schemeClr w14:val="tx1"/>
            </w14:solidFill>
          </w14:textFill>
        </w:rPr>
        <w:t>、在线监测维护费、</w:t>
      </w:r>
      <w:r>
        <w:rPr>
          <w:color w:val="000000" w:themeColor="text1"/>
          <w:sz w:val="28"/>
          <w:szCs w:val="28"/>
          <w14:textFill>
            <w14:solidFill>
              <w14:schemeClr w14:val="tx1"/>
            </w14:solidFill>
          </w14:textFill>
        </w:rPr>
        <w:t>水环境微型自动监测仪</w:t>
      </w:r>
      <w:r>
        <w:rPr>
          <w:rFonts w:hint="eastAsia"/>
          <w:color w:val="000000" w:themeColor="text1"/>
          <w:sz w:val="28"/>
          <w:szCs w:val="28"/>
          <w14:textFill>
            <w14:solidFill>
              <w14:schemeClr w14:val="tx1"/>
            </w14:solidFill>
          </w14:textFill>
        </w:rPr>
        <w:t>、监控设备、基建费，共计500万元。</w:t>
      </w:r>
    </w:p>
    <w:p>
      <w:pPr>
        <w:spacing w:line="360" w:lineRule="auto"/>
        <w:jc w:val="center"/>
        <w:rPr>
          <w:b/>
          <w:bCs/>
          <w:sz w:val="24"/>
        </w:rPr>
      </w:pPr>
      <w:r>
        <w:rPr>
          <w:rFonts w:hint="eastAsia"/>
          <w:b/>
          <w:bCs/>
          <w:sz w:val="24"/>
        </w:rPr>
        <w:t>表4-11</w:t>
      </w:r>
      <w:r>
        <w:rPr>
          <w:b/>
          <w:bCs/>
          <w:sz w:val="24"/>
        </w:rPr>
        <w:t xml:space="preserve">  </w:t>
      </w:r>
      <w:r>
        <w:rPr>
          <w:rFonts w:hint="eastAsia"/>
          <w:b/>
          <w:bCs/>
          <w:sz w:val="24"/>
        </w:rPr>
        <w:t>大运河宿州段水生态环境监测网络建设项目概算</w:t>
      </w:r>
    </w:p>
    <w:tbl>
      <w:tblPr>
        <w:tblStyle w:val="29"/>
        <w:tblW w:w="852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3"/>
        <w:gridCol w:w="5934"/>
        <w:gridCol w:w="16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blHeader/>
          <w:jc w:val="center"/>
        </w:trPr>
        <w:tc>
          <w:tcPr>
            <w:tcW w:w="963" w:type="dxa"/>
            <w:vAlign w:val="center"/>
          </w:tcPr>
          <w:p>
            <w:pPr>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序号</w:t>
            </w:r>
          </w:p>
        </w:tc>
        <w:tc>
          <w:tcPr>
            <w:tcW w:w="5934" w:type="dxa"/>
            <w:vAlign w:val="center"/>
          </w:tcPr>
          <w:p>
            <w:pPr>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名称</w:t>
            </w:r>
          </w:p>
        </w:tc>
        <w:tc>
          <w:tcPr>
            <w:tcW w:w="1631" w:type="dxa"/>
            <w:vAlign w:val="center"/>
          </w:tcPr>
          <w:p>
            <w:pPr>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总价</w:t>
            </w:r>
          </w:p>
          <w:p>
            <w:pPr>
              <w:jc w:val="center"/>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w:t>
            </w:r>
            <w:r>
              <w:rPr>
                <w:b/>
                <w:bCs/>
                <w:color w:val="000000" w:themeColor="text1"/>
                <w:sz w:val="24"/>
                <w14:textFill>
                  <w14:solidFill>
                    <w14:schemeClr w14:val="tx1"/>
                  </w14:solidFill>
                </w14:textFill>
              </w:rPr>
              <w:t>万元</w:t>
            </w:r>
            <w:r>
              <w:rPr>
                <w:rFonts w:hint="eastAsia"/>
                <w:b/>
                <w:bCs/>
                <w:color w:val="000000" w:themeColor="text1"/>
                <w:sz w:val="24"/>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63" w:type="dxa"/>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1</w:t>
            </w:r>
          </w:p>
        </w:tc>
        <w:tc>
          <w:tcPr>
            <w:tcW w:w="5934" w:type="dxa"/>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监测站点建设</w:t>
            </w:r>
          </w:p>
        </w:tc>
        <w:tc>
          <w:tcPr>
            <w:tcW w:w="1631" w:type="dxa"/>
            <w:vAlign w:val="center"/>
          </w:tcPr>
          <w:p>
            <w:pPr>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63" w:type="dxa"/>
            <w:vAlign w:val="center"/>
          </w:tcPr>
          <w:p>
            <w:pPr>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w:t>
            </w:r>
          </w:p>
        </w:tc>
        <w:tc>
          <w:tcPr>
            <w:tcW w:w="5934" w:type="dxa"/>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监测网络管理平台</w:t>
            </w:r>
          </w:p>
        </w:tc>
        <w:tc>
          <w:tcPr>
            <w:tcW w:w="1631" w:type="dxa"/>
            <w:vAlign w:val="center"/>
          </w:tcPr>
          <w:p>
            <w:pPr>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63" w:type="dxa"/>
            <w:vAlign w:val="center"/>
          </w:tcPr>
          <w:p>
            <w:pPr>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3</w:t>
            </w:r>
          </w:p>
        </w:tc>
        <w:tc>
          <w:tcPr>
            <w:tcW w:w="5934" w:type="dxa"/>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水环境监测设备</w:t>
            </w:r>
          </w:p>
        </w:tc>
        <w:tc>
          <w:tcPr>
            <w:tcW w:w="1631" w:type="dxa"/>
            <w:vAlign w:val="center"/>
          </w:tcPr>
          <w:p>
            <w:pPr>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63" w:type="dxa"/>
            <w:vAlign w:val="center"/>
          </w:tcPr>
          <w:p>
            <w:pPr>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4</w:t>
            </w:r>
          </w:p>
        </w:tc>
        <w:tc>
          <w:tcPr>
            <w:tcW w:w="5934" w:type="dxa"/>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水环境微型自动监测仪</w:t>
            </w:r>
          </w:p>
        </w:tc>
        <w:tc>
          <w:tcPr>
            <w:tcW w:w="1631" w:type="dxa"/>
            <w:vAlign w:val="center"/>
          </w:tcPr>
          <w:p>
            <w:pPr>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63" w:type="dxa"/>
            <w:vAlign w:val="center"/>
          </w:tcPr>
          <w:p>
            <w:pPr>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5</w:t>
            </w:r>
          </w:p>
        </w:tc>
        <w:tc>
          <w:tcPr>
            <w:tcW w:w="5934" w:type="dxa"/>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实验室检测设备、药剂</w:t>
            </w:r>
          </w:p>
        </w:tc>
        <w:tc>
          <w:tcPr>
            <w:tcW w:w="1631" w:type="dxa"/>
            <w:vAlign w:val="center"/>
          </w:tcPr>
          <w:p>
            <w:pPr>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63" w:type="dxa"/>
            <w:vAlign w:val="center"/>
          </w:tcPr>
          <w:p>
            <w:pPr>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6</w:t>
            </w:r>
          </w:p>
        </w:tc>
        <w:tc>
          <w:tcPr>
            <w:tcW w:w="5934" w:type="dxa"/>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实验便携式检测设备</w:t>
            </w:r>
          </w:p>
        </w:tc>
        <w:tc>
          <w:tcPr>
            <w:tcW w:w="1631" w:type="dxa"/>
            <w:vAlign w:val="center"/>
          </w:tcPr>
          <w:p>
            <w:pPr>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63" w:type="dxa"/>
            <w:vAlign w:val="center"/>
          </w:tcPr>
          <w:p>
            <w:pPr>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7</w:t>
            </w:r>
          </w:p>
        </w:tc>
        <w:tc>
          <w:tcPr>
            <w:tcW w:w="5934" w:type="dxa"/>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在线监测维护费用</w:t>
            </w:r>
          </w:p>
        </w:tc>
        <w:tc>
          <w:tcPr>
            <w:tcW w:w="1631" w:type="dxa"/>
            <w:vAlign w:val="center"/>
          </w:tcPr>
          <w:p>
            <w:pPr>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63" w:type="dxa"/>
            <w:vAlign w:val="center"/>
          </w:tcPr>
          <w:p>
            <w:pPr>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8</w:t>
            </w:r>
          </w:p>
        </w:tc>
        <w:tc>
          <w:tcPr>
            <w:tcW w:w="5934" w:type="dxa"/>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监控设备</w:t>
            </w:r>
          </w:p>
        </w:tc>
        <w:tc>
          <w:tcPr>
            <w:tcW w:w="1631" w:type="dxa"/>
            <w:vAlign w:val="center"/>
          </w:tcPr>
          <w:p>
            <w:pPr>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963" w:type="dxa"/>
            <w:vAlign w:val="center"/>
          </w:tcPr>
          <w:p>
            <w:pPr>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9</w:t>
            </w:r>
          </w:p>
        </w:tc>
        <w:tc>
          <w:tcPr>
            <w:tcW w:w="5934" w:type="dxa"/>
            <w:vAlign w:val="center"/>
          </w:tcPr>
          <w:p>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水环境监测站基建（水、电、网、路）</w:t>
            </w:r>
          </w:p>
        </w:tc>
        <w:tc>
          <w:tcPr>
            <w:tcW w:w="1631" w:type="dxa"/>
            <w:vAlign w:val="center"/>
          </w:tcPr>
          <w:p>
            <w:pPr>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6897" w:type="dxa"/>
            <w:gridSpan w:val="2"/>
            <w:vAlign w:val="center"/>
          </w:tcPr>
          <w:p>
            <w:pPr>
              <w:jc w:val="center"/>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合计</w:t>
            </w:r>
          </w:p>
        </w:tc>
        <w:tc>
          <w:tcPr>
            <w:tcW w:w="1631" w:type="dxa"/>
            <w:vAlign w:val="center"/>
          </w:tcPr>
          <w:p>
            <w:pPr>
              <w:jc w:val="center"/>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500</w:t>
            </w:r>
          </w:p>
        </w:tc>
      </w:tr>
    </w:tbl>
    <w:p>
      <w:pPr>
        <w:pStyle w:val="2"/>
      </w:pPr>
    </w:p>
    <w:p>
      <w:pPr>
        <w:widowControl/>
        <w:jc w:val="left"/>
        <w:sectPr>
          <w:footerReference r:id="rId21" w:type="default"/>
          <w:pgSz w:w="11906" w:h="16838"/>
          <w:pgMar w:top="1440" w:right="1797" w:bottom="1440" w:left="1797" w:header="227" w:footer="1077" w:gutter="0"/>
          <w:cols w:space="425" w:num="1"/>
          <w:docGrid w:type="lines" w:linePitch="312" w:charSpace="0"/>
        </w:sectPr>
      </w:pPr>
    </w:p>
    <w:p>
      <w:pPr>
        <w:spacing w:line="360" w:lineRule="auto"/>
        <w:jc w:val="center"/>
        <w:rPr>
          <w:rFonts w:eastAsiaTheme="minorEastAsia"/>
          <w:sz w:val="28"/>
          <w:szCs w:val="28"/>
        </w:rPr>
      </w:pPr>
      <w:r>
        <w:rPr>
          <w:rFonts w:eastAsiaTheme="minorEastAsia"/>
          <w:sz w:val="28"/>
          <w:szCs w:val="28"/>
        </w:rPr>
        <w:drawing>
          <wp:inline distT="0" distB="0" distL="0" distR="0">
            <wp:extent cx="8819515" cy="4272915"/>
            <wp:effectExtent l="0" t="0" r="635" b="0"/>
            <wp:docPr id="45" name="图片 45" descr="C:\Users\ADMINI~1\AppData\Local\Temp\WeChat Files\744923ce72549dd559093fb3ee3ab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ADMINI~1\AppData\Local\Temp\WeChat Files\744923ce72549dd559093fb3ee3ab28.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8820000" cy="4273200"/>
                    </a:xfrm>
                    <a:prstGeom prst="rect">
                      <a:avLst/>
                    </a:prstGeom>
                    <a:noFill/>
                    <a:ln>
                      <a:noFill/>
                    </a:ln>
                  </pic:spPr>
                </pic:pic>
              </a:graphicData>
            </a:graphic>
          </wp:inline>
        </w:drawing>
      </w:r>
    </w:p>
    <w:p>
      <w:pPr>
        <w:spacing w:line="360" w:lineRule="auto"/>
        <w:jc w:val="center"/>
        <w:rPr>
          <w:b/>
          <w:bCs/>
          <w:sz w:val="24"/>
        </w:rPr>
        <w:sectPr>
          <w:footerReference r:id="rId22" w:type="default"/>
          <w:pgSz w:w="16838" w:h="11906" w:orient="landscape"/>
          <w:pgMar w:top="1797" w:right="1440" w:bottom="1797" w:left="1440" w:header="567" w:footer="1417" w:gutter="0"/>
          <w:cols w:space="425" w:num="1"/>
          <w:docGrid w:type="lines" w:linePitch="312" w:charSpace="0"/>
        </w:sectPr>
      </w:pPr>
      <w:r>
        <w:rPr>
          <w:rFonts w:hint="eastAsia"/>
          <w:b/>
          <w:bCs/>
          <w:sz w:val="24"/>
        </w:rPr>
        <w:t>图4-1  水环境监测规划布点图</w:t>
      </w:r>
    </w:p>
    <w:p>
      <w:pPr>
        <w:pStyle w:val="4"/>
        <w:spacing w:before="312" w:after="312"/>
        <w:rPr>
          <w:rFonts w:eastAsiaTheme="minorEastAsia"/>
        </w:rPr>
      </w:pPr>
      <w:bookmarkStart w:id="140" w:name="_Toc426893732"/>
      <w:bookmarkStart w:id="141" w:name="_Toc446947150"/>
      <w:bookmarkStart w:id="142" w:name="_Toc423441029"/>
      <w:bookmarkStart w:id="143" w:name="_Toc84536551"/>
      <w:r>
        <w:rPr>
          <w:rFonts w:hint="eastAsia" w:eastAsiaTheme="minorEastAsia"/>
        </w:rPr>
        <w:t>4</w:t>
      </w:r>
      <w:r>
        <w:rPr>
          <w:rFonts w:eastAsiaTheme="minorEastAsia"/>
        </w:rPr>
        <w:t>.</w:t>
      </w:r>
      <w:r>
        <w:rPr>
          <w:rFonts w:hint="eastAsia" w:eastAsiaTheme="minorEastAsia"/>
        </w:rPr>
        <w:t>6</w:t>
      </w:r>
      <w:r>
        <w:rPr>
          <w:rFonts w:eastAsiaTheme="minorEastAsia"/>
        </w:rPr>
        <w:t xml:space="preserve"> </w:t>
      </w:r>
      <w:r>
        <w:rPr>
          <w:rFonts w:asciiTheme="minorEastAsia" w:hAnsiTheme="minorEastAsia" w:eastAsiaTheme="minorEastAsia"/>
        </w:rPr>
        <w:t>主要实施</w:t>
      </w:r>
      <w:r>
        <w:rPr>
          <w:rFonts w:hint="eastAsia" w:asciiTheme="minorEastAsia" w:hAnsiTheme="minorEastAsia" w:eastAsiaTheme="minorEastAsia"/>
        </w:rPr>
        <w:t>项目</w:t>
      </w:r>
      <w:r>
        <w:rPr>
          <w:rFonts w:asciiTheme="minorEastAsia" w:hAnsiTheme="minorEastAsia" w:eastAsiaTheme="minorEastAsia"/>
        </w:rPr>
        <w:t>汇总</w:t>
      </w:r>
      <w:bookmarkEnd w:id="140"/>
      <w:bookmarkEnd w:id="141"/>
      <w:bookmarkEnd w:id="142"/>
      <w:bookmarkEnd w:id="143"/>
    </w:p>
    <w:p>
      <w:pPr>
        <w:spacing w:line="600" w:lineRule="exact"/>
        <w:ind w:firstLine="560" w:firstLineChars="200"/>
        <w:rPr>
          <w:rFonts w:eastAsiaTheme="minorEastAsia"/>
          <w:sz w:val="28"/>
          <w:szCs w:val="28"/>
        </w:rPr>
      </w:pPr>
      <w:r>
        <w:rPr>
          <w:rFonts w:hint="eastAsia" w:eastAsiaTheme="minorEastAsia"/>
          <w:sz w:val="28"/>
          <w:szCs w:val="28"/>
        </w:rPr>
        <w:t>为了做好本地资源情况调查，统筹制定保护管理目标，着力改善生态系统服务功能，提高生态产品供给能力，本方案计划对大运河宿州段生态环境进行相应的保护修复，</w:t>
      </w:r>
      <w:r>
        <w:rPr>
          <w:rFonts w:eastAsiaTheme="minorEastAsia"/>
          <w:sz w:val="28"/>
          <w:szCs w:val="28"/>
        </w:rPr>
        <w:t>主要实施</w:t>
      </w:r>
      <w:r>
        <w:rPr>
          <w:rFonts w:hint="eastAsia" w:eastAsiaTheme="minorEastAsia"/>
          <w:sz w:val="28"/>
          <w:szCs w:val="28"/>
        </w:rPr>
        <w:t>项目</w:t>
      </w:r>
      <w:r>
        <w:rPr>
          <w:rFonts w:eastAsiaTheme="minorEastAsia"/>
          <w:sz w:val="28"/>
          <w:szCs w:val="28"/>
        </w:rPr>
        <w:t>汇总见表</w:t>
      </w:r>
      <w:r>
        <w:rPr>
          <w:rFonts w:hint="eastAsia" w:eastAsiaTheme="minorEastAsia"/>
          <w:sz w:val="28"/>
          <w:szCs w:val="28"/>
        </w:rPr>
        <w:t>4-12。</w:t>
      </w:r>
    </w:p>
    <w:p>
      <w:pPr>
        <w:pStyle w:val="2"/>
        <w:spacing w:after="0" w:line="360" w:lineRule="auto"/>
        <w:ind w:left="0" w:leftChars="0" w:firstLine="400" w:firstLineChars="200"/>
        <w:sectPr>
          <w:pgSz w:w="11906" w:h="16838"/>
          <w:pgMar w:top="1440" w:right="1797" w:bottom="1440" w:left="1797" w:header="227" w:footer="1077" w:gutter="0"/>
          <w:cols w:space="425" w:num="1"/>
          <w:docGrid w:type="lines" w:linePitch="312" w:charSpace="0"/>
        </w:sectPr>
      </w:pPr>
    </w:p>
    <w:p>
      <w:pPr>
        <w:spacing w:line="360" w:lineRule="auto"/>
        <w:jc w:val="center"/>
        <w:rPr>
          <w:b/>
          <w:bCs/>
          <w:sz w:val="24"/>
        </w:rPr>
      </w:pPr>
      <w:r>
        <w:rPr>
          <w:rFonts w:hint="eastAsia"/>
          <w:b/>
          <w:bCs/>
          <w:sz w:val="24"/>
        </w:rPr>
        <w:t>表4-12  主要实施方案汇总一览表</w:t>
      </w:r>
    </w:p>
    <w:tbl>
      <w:tblPr>
        <w:tblStyle w:val="28"/>
        <w:tblW w:w="13729" w:type="dxa"/>
        <w:jc w:val="center"/>
        <w:tblInd w:w="0" w:type="dxa"/>
        <w:tblLayout w:type="fixed"/>
        <w:tblCellMar>
          <w:top w:w="0" w:type="dxa"/>
          <w:left w:w="108" w:type="dxa"/>
          <w:bottom w:w="0" w:type="dxa"/>
          <w:right w:w="108" w:type="dxa"/>
        </w:tblCellMar>
      </w:tblPr>
      <w:tblGrid>
        <w:gridCol w:w="698"/>
        <w:gridCol w:w="5496"/>
        <w:gridCol w:w="5415"/>
        <w:gridCol w:w="939"/>
        <w:gridCol w:w="1181"/>
      </w:tblGrid>
      <w:tr>
        <w:tblPrEx>
          <w:tblLayout w:type="fixed"/>
          <w:tblCellMar>
            <w:top w:w="0" w:type="dxa"/>
            <w:left w:w="108" w:type="dxa"/>
            <w:bottom w:w="0" w:type="dxa"/>
            <w:right w:w="108" w:type="dxa"/>
          </w:tblCellMar>
        </w:tblPrEx>
        <w:trPr>
          <w:trHeight w:val="907" w:hRule="atLeast"/>
          <w:tblHeader/>
          <w:jc w:val="center"/>
        </w:trPr>
        <w:tc>
          <w:tcPr>
            <w:tcW w:w="69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b/>
                <w:bCs/>
                <w:color w:val="000000"/>
                <w:kern w:val="0"/>
                <w:sz w:val="24"/>
              </w:rPr>
            </w:pPr>
            <w:r>
              <w:rPr>
                <w:b/>
                <w:bCs/>
                <w:color w:val="000000"/>
                <w:kern w:val="0"/>
                <w:sz w:val="24"/>
              </w:rPr>
              <w:t>序号</w:t>
            </w:r>
          </w:p>
        </w:tc>
        <w:tc>
          <w:tcPr>
            <w:tcW w:w="549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bCs/>
                <w:color w:val="000000"/>
                <w:kern w:val="0"/>
                <w:sz w:val="24"/>
              </w:rPr>
            </w:pPr>
            <w:r>
              <w:rPr>
                <w:b/>
                <w:bCs/>
                <w:color w:val="000000"/>
                <w:kern w:val="0"/>
                <w:sz w:val="24"/>
              </w:rPr>
              <w:t>项目名称</w:t>
            </w:r>
          </w:p>
        </w:tc>
        <w:tc>
          <w:tcPr>
            <w:tcW w:w="5415" w:type="dxa"/>
            <w:tcBorders>
              <w:top w:val="single" w:color="auto" w:sz="4" w:space="0"/>
              <w:left w:val="nil"/>
              <w:bottom w:val="single" w:color="auto"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项目概况</w:t>
            </w:r>
          </w:p>
        </w:tc>
        <w:tc>
          <w:tcPr>
            <w:tcW w:w="939" w:type="dxa"/>
            <w:tcBorders>
              <w:top w:val="single" w:color="auto" w:sz="4" w:space="0"/>
              <w:left w:val="nil"/>
              <w:bottom w:val="single" w:color="auto" w:sz="4" w:space="0"/>
              <w:right w:val="single" w:color="auto" w:sz="4" w:space="0"/>
            </w:tcBorders>
            <w:shd w:val="clear" w:color="auto" w:fill="auto"/>
            <w:vAlign w:val="center"/>
          </w:tcPr>
          <w:p>
            <w:pPr>
              <w:widowControl/>
              <w:jc w:val="center"/>
              <w:rPr>
                <w:b/>
                <w:bCs/>
                <w:color w:val="000000"/>
                <w:kern w:val="0"/>
                <w:sz w:val="24"/>
              </w:rPr>
            </w:pPr>
            <w:r>
              <w:rPr>
                <w:rFonts w:hint="eastAsia"/>
                <w:b/>
                <w:bCs/>
                <w:color w:val="000000"/>
                <w:kern w:val="0"/>
                <w:sz w:val="24"/>
              </w:rPr>
              <w:t>责任主体</w:t>
            </w:r>
          </w:p>
        </w:tc>
        <w:tc>
          <w:tcPr>
            <w:tcW w:w="1181"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bCs/>
                <w:color w:val="000000"/>
                <w:kern w:val="0"/>
                <w:sz w:val="24"/>
              </w:rPr>
            </w:pPr>
            <w:r>
              <w:rPr>
                <w:b/>
                <w:bCs/>
                <w:color w:val="000000"/>
                <w:kern w:val="0"/>
                <w:sz w:val="24"/>
              </w:rPr>
              <w:t>完成期限</w:t>
            </w:r>
          </w:p>
        </w:tc>
      </w:tr>
      <w:tr>
        <w:tblPrEx>
          <w:tblLayout w:type="fixed"/>
          <w:tblCellMar>
            <w:top w:w="0" w:type="dxa"/>
            <w:left w:w="108" w:type="dxa"/>
            <w:bottom w:w="0" w:type="dxa"/>
            <w:right w:w="108" w:type="dxa"/>
          </w:tblCellMar>
        </w:tblPrEx>
        <w:trPr>
          <w:trHeight w:val="907" w:hRule="atLeast"/>
          <w:jc w:val="center"/>
        </w:trPr>
        <w:tc>
          <w:tcPr>
            <w:tcW w:w="69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bCs/>
                <w:color w:val="000000"/>
                <w:kern w:val="0"/>
                <w:sz w:val="24"/>
              </w:rPr>
            </w:pPr>
            <w:r>
              <w:rPr>
                <w:rFonts w:hint="eastAsia"/>
                <w:bCs/>
                <w:color w:val="000000"/>
                <w:kern w:val="0"/>
                <w:sz w:val="24"/>
              </w:rPr>
              <w:t>1</w:t>
            </w:r>
          </w:p>
        </w:tc>
        <w:tc>
          <w:tcPr>
            <w:tcW w:w="549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color w:val="000000"/>
                <w:kern w:val="0"/>
                <w:sz w:val="24"/>
              </w:rPr>
              <w:t>滨河防护林生态屏障建设工程</w:t>
            </w:r>
          </w:p>
        </w:tc>
        <w:tc>
          <w:tcPr>
            <w:tcW w:w="5415" w:type="dxa"/>
            <w:tcBorders>
              <w:top w:val="single" w:color="auto" w:sz="4" w:space="0"/>
              <w:left w:val="nil"/>
              <w:bottom w:val="single" w:color="auto" w:sz="4" w:space="0"/>
              <w:right w:val="single" w:color="auto" w:sz="4" w:space="0"/>
            </w:tcBorders>
            <w:shd w:val="clear" w:color="auto" w:fill="auto"/>
            <w:vAlign w:val="center"/>
          </w:tcPr>
          <w:p>
            <w:pPr>
              <w:widowControl/>
              <w:jc w:val="left"/>
              <w:rPr>
                <w:color w:val="000000"/>
                <w:kern w:val="0"/>
                <w:sz w:val="24"/>
              </w:rPr>
            </w:pPr>
            <w:r>
              <w:rPr>
                <w:rFonts w:hint="eastAsia"/>
                <w:color w:val="000000"/>
                <w:kern w:val="0"/>
                <w:sz w:val="24"/>
              </w:rPr>
              <w:t>对沿河两岸分别进行绿化规整以及裸土覆盖乔木类以无絮杨、刺槐、榆树</w:t>
            </w:r>
            <w:r>
              <w:rPr>
                <w:color w:val="000000"/>
                <w:kern w:val="0"/>
                <w:sz w:val="24"/>
              </w:rPr>
              <w:t>等</w:t>
            </w:r>
            <w:r>
              <w:rPr>
                <w:rFonts w:hint="eastAsia"/>
                <w:color w:val="000000"/>
                <w:kern w:val="0"/>
                <w:sz w:val="24"/>
              </w:rPr>
              <w:t>；灌木类以红叶李、樱花、枇杷等；并配套栽种麦冬草。</w:t>
            </w:r>
          </w:p>
        </w:tc>
        <w:tc>
          <w:tcPr>
            <w:tcW w:w="939" w:type="dxa"/>
            <w:tcBorders>
              <w:top w:val="single" w:color="auto" w:sz="4" w:space="0"/>
              <w:left w:val="nil"/>
              <w:bottom w:val="single" w:color="auto" w:sz="4" w:space="0"/>
              <w:right w:val="single" w:color="auto" w:sz="4" w:space="0"/>
            </w:tcBorders>
            <w:shd w:val="clear" w:color="auto" w:fill="auto"/>
            <w:vAlign w:val="center"/>
          </w:tcPr>
          <w:p>
            <w:pPr>
              <w:jc w:val="center"/>
              <w:rPr>
                <w:color w:val="000000"/>
                <w:kern w:val="0"/>
                <w:sz w:val="24"/>
              </w:rPr>
            </w:pPr>
            <w:r>
              <w:rPr>
                <w:rFonts w:hint="eastAsia"/>
                <w:color w:val="000000"/>
                <w:kern w:val="0"/>
                <w:sz w:val="24"/>
              </w:rPr>
              <w:t>泗县人民政府</w:t>
            </w:r>
          </w:p>
        </w:tc>
        <w:tc>
          <w:tcPr>
            <w:tcW w:w="1181"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2025</w:t>
            </w:r>
          </w:p>
        </w:tc>
      </w:tr>
      <w:tr>
        <w:tblPrEx>
          <w:tblLayout w:type="fixed"/>
          <w:tblCellMar>
            <w:top w:w="0" w:type="dxa"/>
            <w:left w:w="108" w:type="dxa"/>
            <w:bottom w:w="0" w:type="dxa"/>
            <w:right w:w="108" w:type="dxa"/>
          </w:tblCellMar>
        </w:tblPrEx>
        <w:trPr>
          <w:trHeight w:val="638" w:hRule="atLeast"/>
          <w:jc w:val="center"/>
        </w:trPr>
        <w:tc>
          <w:tcPr>
            <w:tcW w:w="69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bCs/>
                <w:color w:val="000000"/>
                <w:kern w:val="0"/>
                <w:sz w:val="24"/>
              </w:rPr>
            </w:pPr>
            <w:r>
              <w:rPr>
                <w:rFonts w:hint="eastAsia"/>
                <w:bCs/>
                <w:color w:val="000000"/>
                <w:kern w:val="0"/>
                <w:sz w:val="24"/>
              </w:rPr>
              <w:t>2</w:t>
            </w:r>
          </w:p>
        </w:tc>
        <w:tc>
          <w:tcPr>
            <w:tcW w:w="5496" w:type="dxa"/>
            <w:tcBorders>
              <w:top w:val="single" w:color="auto" w:sz="4" w:space="0"/>
              <w:left w:val="nil"/>
              <w:bottom w:val="single" w:color="auto" w:sz="4" w:space="0"/>
              <w:right w:val="single" w:color="auto" w:sz="4" w:space="0"/>
            </w:tcBorders>
            <w:shd w:val="clear" w:color="auto" w:fill="auto"/>
            <w:noWrap/>
            <w:vAlign w:val="center"/>
          </w:tcPr>
          <w:p>
            <w:pPr>
              <w:widowControl/>
              <w:spacing w:line="400" w:lineRule="exact"/>
              <w:jc w:val="center"/>
              <w:textAlignment w:val="center"/>
              <w:rPr>
                <w:color w:val="000000"/>
                <w:kern w:val="0"/>
                <w:sz w:val="24"/>
              </w:rPr>
            </w:pPr>
            <w:r>
              <w:rPr>
                <w:color w:val="000000"/>
                <w:kern w:val="0"/>
                <w:sz w:val="24"/>
              </w:rPr>
              <w:t>泗县运河中央公园</w:t>
            </w:r>
          </w:p>
        </w:tc>
        <w:tc>
          <w:tcPr>
            <w:tcW w:w="5415"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textAlignment w:val="center"/>
              <w:rPr>
                <w:color w:val="000000"/>
                <w:kern w:val="0"/>
                <w:sz w:val="24"/>
              </w:rPr>
            </w:pPr>
            <w:r>
              <w:rPr>
                <w:color w:val="000000"/>
                <w:kern w:val="0"/>
                <w:sz w:val="24"/>
              </w:rPr>
              <w:t>依托古运河，建设综合性公园</w:t>
            </w:r>
          </w:p>
        </w:tc>
        <w:tc>
          <w:tcPr>
            <w:tcW w:w="939" w:type="dxa"/>
            <w:tcBorders>
              <w:top w:val="single" w:color="auto" w:sz="4" w:space="0"/>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泗县人民政府</w:t>
            </w:r>
          </w:p>
        </w:tc>
        <w:tc>
          <w:tcPr>
            <w:tcW w:w="1181"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color w:val="000000"/>
                <w:kern w:val="0"/>
                <w:sz w:val="24"/>
              </w:rPr>
              <w:t>2022</w:t>
            </w:r>
          </w:p>
        </w:tc>
      </w:tr>
      <w:tr>
        <w:tblPrEx>
          <w:tblLayout w:type="fixed"/>
          <w:tblCellMar>
            <w:top w:w="0" w:type="dxa"/>
            <w:left w:w="108" w:type="dxa"/>
            <w:bottom w:w="0" w:type="dxa"/>
            <w:right w:w="108" w:type="dxa"/>
          </w:tblCellMar>
        </w:tblPrEx>
        <w:trPr>
          <w:trHeight w:val="907" w:hRule="atLeast"/>
          <w:jc w:val="center"/>
        </w:trPr>
        <w:tc>
          <w:tcPr>
            <w:tcW w:w="69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bCs/>
                <w:color w:val="000000"/>
                <w:kern w:val="0"/>
                <w:sz w:val="24"/>
              </w:rPr>
            </w:pPr>
            <w:r>
              <w:rPr>
                <w:rFonts w:hint="eastAsia"/>
                <w:bCs/>
                <w:color w:val="000000"/>
                <w:kern w:val="0"/>
                <w:sz w:val="24"/>
              </w:rPr>
              <w:t>3</w:t>
            </w:r>
          </w:p>
        </w:tc>
        <w:tc>
          <w:tcPr>
            <w:tcW w:w="549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泗县运河城市森林公园</w:t>
            </w:r>
          </w:p>
        </w:tc>
        <w:tc>
          <w:tcPr>
            <w:tcW w:w="5415" w:type="dxa"/>
            <w:tcBorders>
              <w:top w:val="single" w:color="auto" w:sz="4" w:space="0"/>
              <w:left w:val="nil"/>
              <w:bottom w:val="single" w:color="auto" w:sz="4" w:space="0"/>
              <w:right w:val="single" w:color="auto" w:sz="4" w:space="0"/>
            </w:tcBorders>
            <w:shd w:val="clear" w:color="auto" w:fill="auto"/>
            <w:vAlign w:val="center"/>
          </w:tcPr>
          <w:p>
            <w:pPr>
              <w:widowControl/>
              <w:jc w:val="lef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绿化造林面积1700亩，并实施沟渠改造、原道路提升和配套管理用房及其他附属设施建设。</w:t>
            </w:r>
          </w:p>
        </w:tc>
        <w:tc>
          <w:tcPr>
            <w:tcW w:w="939" w:type="dxa"/>
            <w:tcBorders>
              <w:top w:val="single" w:color="auto" w:sz="4" w:space="0"/>
              <w:left w:val="nil"/>
              <w:bottom w:val="single" w:color="auto" w:sz="4" w:space="0"/>
              <w:right w:val="single" w:color="auto" w:sz="4" w:space="0"/>
            </w:tcBorders>
            <w:shd w:val="clear" w:color="auto" w:fill="auto"/>
            <w:vAlign w:val="center"/>
          </w:tcPr>
          <w:p>
            <w:pPr>
              <w:widowControl/>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泗县人民政府</w:t>
            </w:r>
          </w:p>
        </w:tc>
        <w:tc>
          <w:tcPr>
            <w:tcW w:w="1181"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2022</w:t>
            </w:r>
          </w:p>
        </w:tc>
      </w:tr>
      <w:tr>
        <w:tblPrEx>
          <w:tblLayout w:type="fixed"/>
          <w:tblCellMar>
            <w:top w:w="0" w:type="dxa"/>
            <w:left w:w="108" w:type="dxa"/>
            <w:bottom w:w="0" w:type="dxa"/>
            <w:right w:w="108" w:type="dxa"/>
          </w:tblCellMar>
        </w:tblPrEx>
        <w:trPr>
          <w:trHeight w:val="907" w:hRule="atLeast"/>
          <w:jc w:val="center"/>
        </w:trPr>
        <w:tc>
          <w:tcPr>
            <w:tcW w:w="69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bCs/>
                <w:color w:val="000000"/>
                <w:kern w:val="0"/>
                <w:sz w:val="24"/>
              </w:rPr>
            </w:pPr>
            <w:r>
              <w:rPr>
                <w:rFonts w:hint="eastAsia"/>
                <w:bCs/>
                <w:color w:val="000000"/>
                <w:kern w:val="0"/>
                <w:sz w:val="24"/>
              </w:rPr>
              <w:t>4</w:t>
            </w:r>
          </w:p>
        </w:tc>
        <w:tc>
          <w:tcPr>
            <w:tcW w:w="549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泗县大运河遗址公园</w:t>
            </w:r>
          </w:p>
        </w:tc>
        <w:tc>
          <w:tcPr>
            <w:tcW w:w="5415" w:type="dxa"/>
            <w:tcBorders>
              <w:top w:val="single" w:color="auto" w:sz="4" w:space="0"/>
              <w:left w:val="nil"/>
              <w:bottom w:val="single" w:color="auto" w:sz="4" w:space="0"/>
              <w:right w:val="single" w:color="auto" w:sz="4" w:space="0"/>
            </w:tcBorders>
            <w:shd w:val="clear" w:color="auto" w:fill="auto"/>
            <w:vAlign w:val="center"/>
          </w:tcPr>
          <w:p>
            <w:pPr>
              <w:widowControl/>
              <w:jc w:val="lef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围绕大运河泗县遗址文化，加强环境整治和绿化美化，运河文化带保护传承利用与修复，规划建设大运河遗址公园。</w:t>
            </w:r>
          </w:p>
        </w:tc>
        <w:tc>
          <w:tcPr>
            <w:tcW w:w="939" w:type="dxa"/>
            <w:tcBorders>
              <w:top w:val="single" w:color="auto" w:sz="4" w:space="0"/>
              <w:left w:val="nil"/>
              <w:bottom w:val="single" w:color="auto" w:sz="4" w:space="0"/>
              <w:right w:val="single" w:color="auto" w:sz="4" w:space="0"/>
            </w:tcBorders>
            <w:shd w:val="clear" w:color="auto" w:fill="auto"/>
            <w:vAlign w:val="center"/>
          </w:tcPr>
          <w:p>
            <w:pPr>
              <w:widowControl/>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泗县人民政府</w:t>
            </w:r>
          </w:p>
        </w:tc>
        <w:tc>
          <w:tcPr>
            <w:tcW w:w="1181"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2022</w:t>
            </w:r>
          </w:p>
        </w:tc>
      </w:tr>
      <w:tr>
        <w:tblPrEx>
          <w:tblLayout w:type="fixed"/>
          <w:tblCellMar>
            <w:top w:w="0" w:type="dxa"/>
            <w:left w:w="108" w:type="dxa"/>
            <w:bottom w:w="0" w:type="dxa"/>
            <w:right w:w="108" w:type="dxa"/>
          </w:tblCellMar>
        </w:tblPrEx>
        <w:trPr>
          <w:trHeight w:val="907" w:hRule="atLeast"/>
          <w:jc w:val="center"/>
        </w:trPr>
        <w:tc>
          <w:tcPr>
            <w:tcW w:w="69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bCs/>
                <w:color w:val="000000"/>
                <w:kern w:val="0"/>
                <w:sz w:val="24"/>
              </w:rPr>
            </w:pPr>
            <w:r>
              <w:rPr>
                <w:rFonts w:hint="eastAsia"/>
                <w:bCs/>
                <w:color w:val="000000"/>
                <w:kern w:val="0"/>
                <w:sz w:val="24"/>
              </w:rPr>
              <w:t>5</w:t>
            </w:r>
          </w:p>
        </w:tc>
        <w:tc>
          <w:tcPr>
            <w:tcW w:w="549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eastAsiaTheme="minorEastAsia"/>
                <w:kern w:val="0"/>
                <w:sz w:val="24"/>
              </w:rPr>
            </w:pPr>
            <w:r>
              <w:rPr>
                <w:rFonts w:hint="eastAsia" w:eastAsiaTheme="minorEastAsia"/>
                <w:kern w:val="0"/>
                <w:sz w:val="24"/>
              </w:rPr>
              <w:t>宿州市朱仙庄采煤沉陷区综合治理工程</w:t>
            </w:r>
          </w:p>
        </w:tc>
        <w:tc>
          <w:tcPr>
            <w:tcW w:w="5415"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eastAsiaTheme="minorEastAsia"/>
                <w:kern w:val="0"/>
                <w:sz w:val="24"/>
              </w:rPr>
            </w:pPr>
            <w:r>
              <w:rPr>
                <w:rFonts w:hint="eastAsia" w:eastAsiaTheme="minorEastAsia"/>
                <w:kern w:val="0"/>
                <w:sz w:val="24"/>
              </w:rPr>
              <w:t>主要实施土地、水</w:t>
            </w:r>
            <w:r>
              <w:rPr>
                <w:rFonts w:eastAsiaTheme="minorEastAsia"/>
                <w:kern w:val="0"/>
                <w:sz w:val="24"/>
              </w:rPr>
              <w:t>环境治理</w:t>
            </w:r>
            <w:r>
              <w:rPr>
                <w:rFonts w:hint="eastAsia" w:eastAsiaTheme="minorEastAsia"/>
                <w:kern w:val="0"/>
                <w:sz w:val="24"/>
              </w:rPr>
              <w:t>和</w:t>
            </w:r>
            <w:r>
              <w:rPr>
                <w:rFonts w:eastAsiaTheme="minorEastAsia"/>
                <w:kern w:val="0"/>
                <w:sz w:val="24"/>
              </w:rPr>
              <w:t>资源利用工程</w:t>
            </w:r>
            <w:r>
              <w:rPr>
                <w:rFonts w:hint="eastAsia" w:eastAsiaTheme="minorEastAsia"/>
                <w:kern w:val="0"/>
                <w:sz w:val="24"/>
              </w:rPr>
              <w:t>，建设</w:t>
            </w:r>
            <w:r>
              <w:rPr>
                <w:rFonts w:eastAsiaTheme="minorEastAsia"/>
                <w:kern w:val="0"/>
                <w:sz w:val="24"/>
              </w:rPr>
              <w:t>景观工程</w:t>
            </w:r>
            <w:r>
              <w:rPr>
                <w:rFonts w:hint="eastAsia" w:eastAsiaTheme="minorEastAsia"/>
                <w:kern w:val="0"/>
                <w:sz w:val="24"/>
              </w:rPr>
              <w:t>和</w:t>
            </w:r>
            <w:r>
              <w:rPr>
                <w:rFonts w:eastAsiaTheme="minorEastAsia"/>
                <w:kern w:val="0"/>
                <w:sz w:val="24"/>
              </w:rPr>
              <w:t>公共市政基础设施。</w:t>
            </w:r>
          </w:p>
        </w:tc>
        <w:tc>
          <w:tcPr>
            <w:tcW w:w="939"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市自然资源局</w:t>
            </w:r>
          </w:p>
        </w:tc>
        <w:tc>
          <w:tcPr>
            <w:tcW w:w="1181"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eastAsiaTheme="minorEastAsia"/>
                <w:kern w:val="0"/>
                <w:sz w:val="24"/>
              </w:rPr>
            </w:pPr>
            <w:r>
              <w:rPr>
                <w:rFonts w:hint="eastAsia" w:eastAsiaTheme="minorEastAsia"/>
                <w:kern w:val="0"/>
                <w:sz w:val="24"/>
              </w:rPr>
              <w:t>2022</w:t>
            </w:r>
          </w:p>
        </w:tc>
      </w:tr>
      <w:tr>
        <w:tblPrEx>
          <w:tblLayout w:type="fixed"/>
          <w:tblCellMar>
            <w:top w:w="0" w:type="dxa"/>
            <w:left w:w="108" w:type="dxa"/>
            <w:bottom w:w="0" w:type="dxa"/>
            <w:right w:w="108" w:type="dxa"/>
          </w:tblCellMar>
        </w:tblPrEx>
        <w:trPr>
          <w:trHeight w:val="763" w:hRule="atLeast"/>
          <w:jc w:val="center"/>
        </w:trPr>
        <w:tc>
          <w:tcPr>
            <w:tcW w:w="69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bCs/>
                <w:color w:val="000000"/>
                <w:kern w:val="0"/>
                <w:sz w:val="24"/>
              </w:rPr>
            </w:pPr>
            <w:r>
              <w:rPr>
                <w:rFonts w:hint="eastAsia"/>
                <w:bCs/>
                <w:color w:val="000000"/>
                <w:kern w:val="0"/>
                <w:sz w:val="24"/>
              </w:rPr>
              <w:t>6</w:t>
            </w:r>
          </w:p>
        </w:tc>
        <w:tc>
          <w:tcPr>
            <w:tcW w:w="549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泗县城区雨水排污口整治工程</w:t>
            </w:r>
          </w:p>
        </w:tc>
        <w:tc>
          <w:tcPr>
            <w:tcW w:w="5415" w:type="dxa"/>
            <w:tcBorders>
              <w:top w:val="single" w:color="auto" w:sz="4" w:space="0"/>
              <w:left w:val="nil"/>
              <w:bottom w:val="single" w:color="auto" w:sz="4" w:space="0"/>
              <w:right w:val="single" w:color="auto" w:sz="4" w:space="0"/>
            </w:tcBorders>
            <w:shd w:val="clear" w:color="auto" w:fill="auto"/>
            <w:vAlign w:val="center"/>
          </w:tcPr>
          <w:p>
            <w:pPr>
              <w:widowControl/>
              <w:jc w:val="left"/>
              <w:rPr>
                <w:color w:val="000000"/>
                <w:kern w:val="0"/>
                <w:sz w:val="24"/>
              </w:rPr>
            </w:pPr>
            <w:r>
              <w:rPr>
                <w:color w:val="000000"/>
                <w:kern w:val="0"/>
                <w:sz w:val="24"/>
              </w:rPr>
              <w:t>规范沿岸污水排放，截污纳管，集中收集处置。</w:t>
            </w:r>
          </w:p>
        </w:tc>
        <w:tc>
          <w:tcPr>
            <w:tcW w:w="939" w:type="dxa"/>
            <w:tcBorders>
              <w:top w:val="single" w:color="auto" w:sz="4" w:space="0"/>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相关街道</w:t>
            </w:r>
          </w:p>
        </w:tc>
        <w:tc>
          <w:tcPr>
            <w:tcW w:w="1181"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202</w:t>
            </w:r>
            <w:r>
              <w:rPr>
                <w:rFonts w:hint="eastAsia"/>
                <w:color w:val="000000"/>
                <w:kern w:val="0"/>
                <w:sz w:val="24"/>
              </w:rPr>
              <w:t>4</w:t>
            </w:r>
          </w:p>
        </w:tc>
      </w:tr>
      <w:tr>
        <w:tblPrEx>
          <w:tblLayout w:type="fixed"/>
          <w:tblCellMar>
            <w:top w:w="0" w:type="dxa"/>
            <w:left w:w="108" w:type="dxa"/>
            <w:bottom w:w="0" w:type="dxa"/>
            <w:right w:w="108" w:type="dxa"/>
          </w:tblCellMar>
        </w:tblPrEx>
        <w:trPr>
          <w:trHeight w:val="907" w:hRule="atLeast"/>
          <w:jc w:val="center"/>
        </w:trPr>
        <w:tc>
          <w:tcPr>
            <w:tcW w:w="69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bCs/>
                <w:color w:val="000000"/>
                <w:kern w:val="0"/>
                <w:sz w:val="24"/>
              </w:rPr>
            </w:pPr>
            <w:r>
              <w:rPr>
                <w:rFonts w:hint="eastAsia"/>
                <w:bCs/>
                <w:color w:val="000000"/>
                <w:kern w:val="0"/>
                <w:sz w:val="24"/>
              </w:rPr>
              <w:t>7</w:t>
            </w:r>
          </w:p>
        </w:tc>
        <w:tc>
          <w:tcPr>
            <w:tcW w:w="549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泗县段水质保护工程</w:t>
            </w:r>
          </w:p>
        </w:tc>
        <w:tc>
          <w:tcPr>
            <w:tcW w:w="5415" w:type="dxa"/>
            <w:tcBorders>
              <w:top w:val="single" w:color="auto" w:sz="4" w:space="0"/>
              <w:left w:val="nil"/>
              <w:bottom w:val="single" w:color="auto" w:sz="4" w:space="0"/>
              <w:right w:val="single" w:color="auto" w:sz="4" w:space="0"/>
            </w:tcBorders>
            <w:shd w:val="clear" w:color="auto" w:fill="auto"/>
            <w:vAlign w:val="center"/>
          </w:tcPr>
          <w:p>
            <w:pPr>
              <w:widowControl/>
              <w:jc w:val="left"/>
              <w:rPr>
                <w:color w:val="000000"/>
                <w:kern w:val="0"/>
                <w:sz w:val="24"/>
              </w:rPr>
            </w:pPr>
            <w:r>
              <w:rPr>
                <w:color w:val="000000"/>
                <w:kern w:val="0"/>
                <w:sz w:val="24"/>
              </w:rPr>
              <w:t>采用砖混盖板涵收集大运河故道沿线居民生活污水及初期雨水，总长40</w:t>
            </w:r>
            <w:r>
              <w:rPr>
                <w:rFonts w:hint="eastAsia"/>
                <w:color w:val="000000"/>
                <w:kern w:val="0"/>
                <w:sz w:val="24"/>
              </w:rPr>
              <w:t xml:space="preserve"> </w:t>
            </w:r>
            <w:r>
              <w:rPr>
                <w:color w:val="000000"/>
                <w:kern w:val="0"/>
                <w:sz w:val="24"/>
              </w:rPr>
              <w:t>km，建设7处小规模污水处理设施进行加工处理；对城区段两岸仍存在有直排生活污水的居民小区实施污水管道改造，纳入城镇污水管网，改造污水管长15 km。</w:t>
            </w:r>
          </w:p>
        </w:tc>
        <w:tc>
          <w:tcPr>
            <w:tcW w:w="939" w:type="dxa"/>
            <w:tcBorders>
              <w:top w:val="single" w:color="auto" w:sz="4" w:space="0"/>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泗县人民政府</w:t>
            </w:r>
          </w:p>
        </w:tc>
        <w:tc>
          <w:tcPr>
            <w:tcW w:w="1181"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202</w:t>
            </w:r>
            <w:r>
              <w:rPr>
                <w:rFonts w:hint="eastAsia"/>
                <w:color w:val="000000"/>
                <w:kern w:val="0"/>
                <w:sz w:val="24"/>
              </w:rPr>
              <w:t>5</w:t>
            </w:r>
          </w:p>
        </w:tc>
      </w:tr>
      <w:tr>
        <w:tblPrEx>
          <w:tblLayout w:type="fixed"/>
          <w:tblCellMar>
            <w:top w:w="0" w:type="dxa"/>
            <w:left w:w="108" w:type="dxa"/>
            <w:bottom w:w="0" w:type="dxa"/>
            <w:right w:w="108" w:type="dxa"/>
          </w:tblCellMar>
        </w:tblPrEx>
        <w:trPr>
          <w:trHeight w:val="907" w:hRule="atLeast"/>
          <w:jc w:val="center"/>
        </w:trPr>
        <w:tc>
          <w:tcPr>
            <w:tcW w:w="69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bCs/>
                <w:color w:val="000000"/>
                <w:kern w:val="0"/>
                <w:sz w:val="24"/>
              </w:rPr>
            </w:pPr>
            <w:r>
              <w:rPr>
                <w:rFonts w:hint="eastAsia"/>
                <w:bCs/>
                <w:color w:val="000000"/>
                <w:kern w:val="0"/>
                <w:sz w:val="24"/>
              </w:rPr>
              <w:t>8</w:t>
            </w:r>
          </w:p>
        </w:tc>
        <w:tc>
          <w:tcPr>
            <w:tcW w:w="549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eastAsiaTheme="minorEastAsia"/>
                <w:kern w:val="0"/>
                <w:sz w:val="24"/>
              </w:rPr>
            </w:pPr>
            <w:r>
              <w:rPr>
                <w:rFonts w:hint="eastAsia" w:eastAsiaTheme="minorEastAsia"/>
                <w:kern w:val="0"/>
                <w:sz w:val="24"/>
              </w:rPr>
              <w:t>灵璧县中心城区污水管网完善及修复项目</w:t>
            </w:r>
          </w:p>
        </w:tc>
        <w:tc>
          <w:tcPr>
            <w:tcW w:w="5415"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eastAsiaTheme="minorEastAsia"/>
                <w:kern w:val="0"/>
                <w:sz w:val="24"/>
              </w:rPr>
            </w:pPr>
            <w:r>
              <w:rPr>
                <w:rFonts w:hint="eastAsia" w:eastAsiaTheme="minorEastAsia"/>
                <w:kern w:val="0"/>
                <w:sz w:val="24"/>
              </w:rPr>
              <w:t>项目分为两期实施，一期涉及17条主要道路，共修复新建污水管网47930.59 m；二期涉及16条主要道路，共修复及新建管网24644.39 m。</w:t>
            </w:r>
          </w:p>
        </w:tc>
        <w:tc>
          <w:tcPr>
            <w:tcW w:w="939"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灵璧县人民政府</w:t>
            </w:r>
          </w:p>
        </w:tc>
        <w:tc>
          <w:tcPr>
            <w:tcW w:w="1181"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eastAsiaTheme="minorEastAsia"/>
                <w:kern w:val="0"/>
                <w:sz w:val="24"/>
              </w:rPr>
            </w:pPr>
            <w:r>
              <w:rPr>
                <w:rFonts w:hint="eastAsia" w:eastAsiaTheme="minorEastAsia"/>
                <w:kern w:val="0"/>
                <w:sz w:val="24"/>
              </w:rPr>
              <w:t>2025</w:t>
            </w:r>
          </w:p>
        </w:tc>
      </w:tr>
      <w:tr>
        <w:tblPrEx>
          <w:tblLayout w:type="fixed"/>
          <w:tblCellMar>
            <w:top w:w="0" w:type="dxa"/>
            <w:left w:w="108" w:type="dxa"/>
            <w:bottom w:w="0" w:type="dxa"/>
            <w:right w:w="108" w:type="dxa"/>
          </w:tblCellMar>
        </w:tblPrEx>
        <w:trPr>
          <w:trHeight w:val="907" w:hRule="atLeast"/>
          <w:jc w:val="center"/>
        </w:trPr>
        <w:tc>
          <w:tcPr>
            <w:tcW w:w="69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bCs/>
                <w:color w:val="000000"/>
                <w:kern w:val="0"/>
                <w:sz w:val="24"/>
              </w:rPr>
            </w:pPr>
            <w:r>
              <w:rPr>
                <w:rFonts w:hint="eastAsia"/>
                <w:bCs/>
                <w:color w:val="000000"/>
                <w:kern w:val="0"/>
                <w:sz w:val="24"/>
              </w:rPr>
              <w:t>9</w:t>
            </w:r>
          </w:p>
        </w:tc>
        <w:tc>
          <w:tcPr>
            <w:tcW w:w="549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泗县镇区污水处理扩建工程</w:t>
            </w:r>
          </w:p>
        </w:tc>
        <w:tc>
          <w:tcPr>
            <w:tcW w:w="5415" w:type="dxa"/>
            <w:tcBorders>
              <w:top w:val="single" w:color="auto" w:sz="4" w:space="0"/>
              <w:left w:val="nil"/>
              <w:bottom w:val="single" w:color="auto" w:sz="4" w:space="0"/>
              <w:right w:val="single" w:color="auto" w:sz="4" w:space="0"/>
            </w:tcBorders>
            <w:shd w:val="clear" w:color="auto" w:fill="auto"/>
            <w:vAlign w:val="center"/>
          </w:tcPr>
          <w:p>
            <w:pPr>
              <w:widowControl/>
              <w:jc w:val="lef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计划对草庙镇、黑塔镇、屏山镇、长沟镇集中式污水处理厂进行扩建，总扩建规模达1700 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/d，配套污水管网22 km。</w:t>
            </w:r>
          </w:p>
        </w:tc>
        <w:tc>
          <w:tcPr>
            <w:tcW w:w="939" w:type="dxa"/>
            <w:tcBorders>
              <w:top w:val="single" w:color="auto" w:sz="4" w:space="0"/>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泗县人民政府</w:t>
            </w:r>
          </w:p>
        </w:tc>
        <w:tc>
          <w:tcPr>
            <w:tcW w:w="1181"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20</w:t>
            </w:r>
            <w:r>
              <w:rPr>
                <w:rFonts w:hint="eastAsia"/>
                <w:color w:val="000000"/>
                <w:kern w:val="0"/>
                <w:sz w:val="24"/>
              </w:rPr>
              <w:t>23</w:t>
            </w:r>
          </w:p>
        </w:tc>
      </w:tr>
      <w:tr>
        <w:tblPrEx>
          <w:tblLayout w:type="fixed"/>
          <w:tblCellMar>
            <w:top w:w="0" w:type="dxa"/>
            <w:left w:w="108" w:type="dxa"/>
            <w:bottom w:w="0" w:type="dxa"/>
            <w:right w:w="108" w:type="dxa"/>
          </w:tblCellMar>
        </w:tblPrEx>
        <w:trPr>
          <w:trHeight w:val="907" w:hRule="atLeast"/>
          <w:jc w:val="center"/>
        </w:trPr>
        <w:tc>
          <w:tcPr>
            <w:tcW w:w="69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bCs/>
                <w:color w:val="000000"/>
                <w:kern w:val="0"/>
                <w:sz w:val="24"/>
              </w:rPr>
            </w:pPr>
            <w:r>
              <w:rPr>
                <w:rFonts w:hint="eastAsia"/>
                <w:bCs/>
                <w:color w:val="000000"/>
                <w:kern w:val="0"/>
                <w:sz w:val="24"/>
              </w:rPr>
              <w:t>10</w:t>
            </w:r>
          </w:p>
        </w:tc>
        <w:tc>
          <w:tcPr>
            <w:tcW w:w="549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泗县村庄污水处理扩建工程</w:t>
            </w:r>
          </w:p>
        </w:tc>
        <w:tc>
          <w:tcPr>
            <w:tcW w:w="5415" w:type="dxa"/>
            <w:tcBorders>
              <w:top w:val="single" w:color="auto" w:sz="4" w:space="0"/>
              <w:left w:val="nil"/>
              <w:bottom w:val="single" w:color="auto" w:sz="4" w:space="0"/>
              <w:right w:val="single" w:color="auto" w:sz="4" w:space="0"/>
            </w:tcBorders>
            <w:shd w:val="clear" w:color="auto" w:fill="auto"/>
            <w:vAlign w:val="center"/>
          </w:tcPr>
          <w:p>
            <w:pPr>
              <w:widowControl/>
              <w:jc w:val="lef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计划对草庙镇、黑塔镇、屏山镇、长沟镇分散式污水处理厂进行扩建，总扩建规模达1890 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/d，配套污水管网80 km。</w:t>
            </w:r>
          </w:p>
        </w:tc>
        <w:tc>
          <w:tcPr>
            <w:tcW w:w="939" w:type="dxa"/>
            <w:tcBorders>
              <w:top w:val="single" w:color="auto" w:sz="4" w:space="0"/>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泗县人民政府</w:t>
            </w:r>
          </w:p>
        </w:tc>
        <w:tc>
          <w:tcPr>
            <w:tcW w:w="1181"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color w:val="000000"/>
                <w:kern w:val="0"/>
                <w:sz w:val="24"/>
              </w:rPr>
            </w:pPr>
            <w:r>
              <w:rPr>
                <w:color w:val="000000"/>
                <w:kern w:val="0"/>
                <w:sz w:val="24"/>
              </w:rPr>
              <w:t>202</w:t>
            </w:r>
            <w:r>
              <w:rPr>
                <w:rFonts w:hint="eastAsia"/>
                <w:color w:val="000000"/>
                <w:kern w:val="0"/>
                <w:sz w:val="24"/>
              </w:rPr>
              <w:t>3</w:t>
            </w:r>
          </w:p>
        </w:tc>
      </w:tr>
      <w:tr>
        <w:tblPrEx>
          <w:tblLayout w:type="fixed"/>
          <w:tblCellMar>
            <w:top w:w="0" w:type="dxa"/>
            <w:left w:w="108" w:type="dxa"/>
            <w:bottom w:w="0" w:type="dxa"/>
            <w:right w:w="108" w:type="dxa"/>
          </w:tblCellMar>
        </w:tblPrEx>
        <w:trPr>
          <w:trHeight w:val="907" w:hRule="atLeast"/>
          <w:jc w:val="center"/>
        </w:trPr>
        <w:tc>
          <w:tcPr>
            <w:tcW w:w="698"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bCs/>
                <w:color w:val="000000"/>
                <w:kern w:val="0"/>
                <w:sz w:val="24"/>
              </w:rPr>
            </w:pPr>
            <w:r>
              <w:rPr>
                <w:rFonts w:hint="eastAsia"/>
                <w:bCs/>
                <w:color w:val="000000"/>
                <w:kern w:val="0"/>
                <w:sz w:val="24"/>
              </w:rPr>
              <w:t>11</w:t>
            </w:r>
          </w:p>
        </w:tc>
        <w:tc>
          <w:tcPr>
            <w:tcW w:w="5496"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eastAsiaTheme="minorEastAsia"/>
                <w:kern w:val="0"/>
                <w:sz w:val="24"/>
              </w:rPr>
            </w:pPr>
            <w:r>
              <w:rPr>
                <w:rFonts w:hint="eastAsia" w:eastAsiaTheme="minorEastAsia"/>
                <w:kern w:val="0"/>
                <w:sz w:val="24"/>
              </w:rPr>
              <w:t>汴石引河工程</w:t>
            </w:r>
          </w:p>
        </w:tc>
        <w:tc>
          <w:tcPr>
            <w:tcW w:w="5415"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eastAsiaTheme="minorEastAsia"/>
                <w:kern w:val="0"/>
                <w:sz w:val="24"/>
              </w:rPr>
            </w:pPr>
            <w:r>
              <w:rPr>
                <w:rFonts w:hint="eastAsia" w:eastAsiaTheme="minorEastAsia"/>
                <w:kern w:val="0"/>
                <w:sz w:val="24"/>
              </w:rPr>
              <w:t>通过汴石引河工程建设，引新汴河水北上入古汴河，向北穿过清水湾公园，维持大运河有水河段水系连通。</w:t>
            </w:r>
          </w:p>
        </w:tc>
        <w:tc>
          <w:tcPr>
            <w:tcW w:w="939"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泗县人民政府</w:t>
            </w:r>
          </w:p>
        </w:tc>
        <w:tc>
          <w:tcPr>
            <w:tcW w:w="1181"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eastAsiaTheme="minorEastAsia"/>
                <w:kern w:val="0"/>
                <w:sz w:val="24"/>
              </w:rPr>
            </w:pPr>
            <w:r>
              <w:rPr>
                <w:rFonts w:hint="eastAsia" w:eastAsiaTheme="minorEastAsia"/>
                <w:kern w:val="0"/>
                <w:sz w:val="24"/>
              </w:rPr>
              <w:t>2025</w:t>
            </w:r>
          </w:p>
        </w:tc>
      </w:tr>
      <w:tr>
        <w:tblPrEx>
          <w:tblLayout w:type="fixed"/>
          <w:tblCellMar>
            <w:top w:w="0" w:type="dxa"/>
            <w:left w:w="108" w:type="dxa"/>
            <w:bottom w:w="0" w:type="dxa"/>
            <w:right w:w="108" w:type="dxa"/>
          </w:tblCellMar>
        </w:tblPrEx>
        <w:trPr>
          <w:trHeight w:val="907" w:hRule="atLeast"/>
          <w:jc w:val="center"/>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color w:val="000000"/>
                <w:kern w:val="0"/>
                <w:sz w:val="24"/>
              </w:rPr>
              <w:t>12</w:t>
            </w:r>
          </w:p>
        </w:tc>
        <w:tc>
          <w:tcPr>
            <w:tcW w:w="5496" w:type="dxa"/>
            <w:tcBorders>
              <w:top w:val="single" w:color="auto" w:sz="4" w:space="0"/>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大运河泗县段保护展示利用工程</w:t>
            </w:r>
          </w:p>
        </w:tc>
        <w:tc>
          <w:tcPr>
            <w:tcW w:w="5415" w:type="dxa"/>
            <w:tcBorders>
              <w:top w:val="single" w:color="auto" w:sz="4" w:space="0"/>
              <w:left w:val="nil"/>
              <w:bottom w:val="single" w:color="auto" w:sz="4" w:space="0"/>
              <w:right w:val="single" w:color="auto" w:sz="4" w:space="0"/>
            </w:tcBorders>
            <w:shd w:val="clear" w:color="auto" w:fill="auto"/>
            <w:vAlign w:val="center"/>
          </w:tcPr>
          <w:p>
            <w:pPr>
              <w:widowControl/>
              <w:jc w:val="left"/>
              <w:rPr>
                <w:color w:val="000000"/>
                <w:kern w:val="0"/>
                <w:sz w:val="24"/>
              </w:rPr>
            </w:pPr>
            <w:r>
              <w:rPr>
                <w:color w:val="000000"/>
                <w:kern w:val="0"/>
                <w:sz w:val="24"/>
              </w:rPr>
              <w:t>对泗县运河段全线47 km进行保护、展示性利用和环境治理。包括对河道疏浚修复和清淤、复氧、堤岸环境整治和绿化提升，打造绿色生态廊道。设置必要的河道、河堤标识标牌系统等设施，对重要考古挖掘点进行遗址展示等。</w:t>
            </w:r>
          </w:p>
        </w:tc>
        <w:tc>
          <w:tcPr>
            <w:tcW w:w="939" w:type="dxa"/>
            <w:tcBorders>
              <w:top w:val="single" w:color="auto" w:sz="4" w:space="0"/>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泗县人民政府</w:t>
            </w:r>
          </w:p>
        </w:tc>
        <w:tc>
          <w:tcPr>
            <w:tcW w:w="1181" w:type="dxa"/>
            <w:tcBorders>
              <w:top w:val="single" w:color="auto" w:sz="4" w:space="0"/>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2022</w:t>
            </w:r>
          </w:p>
        </w:tc>
      </w:tr>
      <w:tr>
        <w:tblPrEx>
          <w:tblLayout w:type="fixed"/>
          <w:tblCellMar>
            <w:top w:w="0" w:type="dxa"/>
            <w:left w:w="108" w:type="dxa"/>
            <w:bottom w:w="0" w:type="dxa"/>
            <w:right w:w="108" w:type="dxa"/>
          </w:tblCellMar>
        </w:tblPrEx>
        <w:trPr>
          <w:trHeight w:val="907" w:hRule="atLeast"/>
          <w:jc w:val="center"/>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color w:val="000000"/>
                <w:kern w:val="0"/>
                <w:sz w:val="24"/>
              </w:rPr>
              <w:t>13</w:t>
            </w:r>
          </w:p>
        </w:tc>
        <w:tc>
          <w:tcPr>
            <w:tcW w:w="5496"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eastAsiaTheme="minorEastAsia"/>
                <w:kern w:val="0"/>
                <w:sz w:val="24"/>
              </w:rPr>
              <w:t>泗县西古汴河截污清淤、疏浚、生态修复</w:t>
            </w:r>
            <w:r>
              <w:rPr>
                <w:rFonts w:hint="eastAsia" w:eastAsiaTheme="minorEastAsia"/>
                <w:kern w:val="0"/>
                <w:sz w:val="24"/>
              </w:rPr>
              <w:t>工程</w:t>
            </w:r>
          </w:p>
        </w:tc>
        <w:tc>
          <w:tcPr>
            <w:tcW w:w="5415"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eastAsiaTheme="minorEastAsia"/>
                <w:kern w:val="0"/>
                <w:sz w:val="24"/>
              </w:rPr>
            </w:pPr>
            <w:r>
              <w:rPr>
                <w:rFonts w:eastAsiaTheme="minorEastAsia"/>
                <w:kern w:val="0"/>
                <w:sz w:val="24"/>
              </w:rPr>
              <w:t>全长21</w:t>
            </w:r>
            <w:r>
              <w:rPr>
                <w:rFonts w:hint="eastAsia" w:eastAsiaTheme="minorEastAsia"/>
                <w:kern w:val="0"/>
                <w:sz w:val="24"/>
              </w:rPr>
              <w:t xml:space="preserve"> km</w:t>
            </w:r>
            <w:r>
              <w:rPr>
                <w:rFonts w:eastAsiaTheme="minorEastAsia"/>
                <w:kern w:val="0"/>
                <w:sz w:val="24"/>
              </w:rPr>
              <w:t>活水循环、截污、清淤、疏浚、生态修复</w:t>
            </w:r>
          </w:p>
        </w:tc>
        <w:tc>
          <w:tcPr>
            <w:tcW w:w="939"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泗县人民政府</w:t>
            </w:r>
          </w:p>
        </w:tc>
        <w:tc>
          <w:tcPr>
            <w:tcW w:w="1181"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2022</w:t>
            </w:r>
          </w:p>
        </w:tc>
      </w:tr>
      <w:tr>
        <w:tblPrEx>
          <w:tblLayout w:type="fixed"/>
          <w:tblCellMar>
            <w:top w:w="0" w:type="dxa"/>
            <w:left w:w="108" w:type="dxa"/>
            <w:bottom w:w="0" w:type="dxa"/>
            <w:right w:w="108" w:type="dxa"/>
          </w:tblCellMar>
        </w:tblPrEx>
        <w:trPr>
          <w:trHeight w:val="907" w:hRule="atLeast"/>
          <w:jc w:val="center"/>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color w:val="000000"/>
                <w:kern w:val="0"/>
                <w:sz w:val="24"/>
              </w:rPr>
              <w:t>14</w:t>
            </w:r>
          </w:p>
        </w:tc>
        <w:tc>
          <w:tcPr>
            <w:tcW w:w="5496" w:type="dxa"/>
            <w:tcBorders>
              <w:top w:val="single" w:color="auto" w:sz="4" w:space="0"/>
              <w:left w:val="nil"/>
              <w:bottom w:val="single" w:color="auto" w:sz="4" w:space="0"/>
              <w:right w:val="nil"/>
            </w:tcBorders>
            <w:shd w:val="clear" w:color="auto" w:fill="auto"/>
            <w:noWrap/>
            <w:vAlign w:val="center"/>
          </w:tcPr>
          <w:p>
            <w:pPr>
              <w:widowControl/>
              <w:jc w:val="center"/>
              <w:rPr>
                <w:rFonts w:eastAsiaTheme="minorEastAsia"/>
                <w:kern w:val="0"/>
                <w:sz w:val="24"/>
              </w:rPr>
            </w:pPr>
            <w:r>
              <w:rPr>
                <w:rFonts w:eastAsiaTheme="minorEastAsia"/>
                <w:kern w:val="0"/>
                <w:sz w:val="24"/>
              </w:rPr>
              <w:t>泗县石梁河面上大中小沟治理清淤疏浚</w:t>
            </w:r>
            <w:r>
              <w:rPr>
                <w:rFonts w:hint="eastAsia" w:eastAsiaTheme="minorEastAsia"/>
                <w:kern w:val="0"/>
                <w:sz w:val="24"/>
              </w:rPr>
              <w:t>工程</w:t>
            </w:r>
          </w:p>
        </w:tc>
        <w:tc>
          <w:tcPr>
            <w:tcW w:w="5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rPr>
                <w:rFonts w:eastAsiaTheme="minorEastAsia"/>
                <w:kern w:val="0"/>
                <w:sz w:val="24"/>
              </w:rPr>
            </w:pPr>
            <w:r>
              <w:rPr>
                <w:rFonts w:eastAsiaTheme="minorEastAsia"/>
                <w:kern w:val="0"/>
                <w:sz w:val="24"/>
              </w:rPr>
              <w:t>411</w:t>
            </w:r>
            <w:r>
              <w:rPr>
                <w:rFonts w:hint="eastAsia" w:eastAsiaTheme="minorEastAsia"/>
                <w:kern w:val="0"/>
                <w:sz w:val="24"/>
              </w:rPr>
              <w:t xml:space="preserve"> km</w:t>
            </w:r>
            <w:r>
              <w:rPr>
                <w:rFonts w:hint="eastAsia" w:eastAsiaTheme="minorEastAsia"/>
                <w:kern w:val="0"/>
                <w:sz w:val="24"/>
                <w:vertAlign w:val="superscript"/>
              </w:rPr>
              <w:t>2</w:t>
            </w:r>
            <w:r>
              <w:rPr>
                <w:rFonts w:eastAsiaTheme="minorEastAsia"/>
                <w:kern w:val="0"/>
                <w:sz w:val="24"/>
              </w:rPr>
              <w:t>范围内</w:t>
            </w:r>
            <w:r>
              <w:rPr>
                <w:rFonts w:hint="eastAsia" w:eastAsiaTheme="minorEastAsia"/>
                <w:kern w:val="0"/>
                <w:sz w:val="24"/>
              </w:rPr>
              <w:t>的</w:t>
            </w:r>
            <w:r>
              <w:rPr>
                <w:rFonts w:eastAsiaTheme="minorEastAsia"/>
                <w:kern w:val="0"/>
                <w:sz w:val="24"/>
              </w:rPr>
              <w:t>大中小沟治理及工程建设</w:t>
            </w:r>
          </w:p>
        </w:tc>
        <w:tc>
          <w:tcPr>
            <w:tcW w:w="939"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泗县人民政府</w:t>
            </w:r>
          </w:p>
        </w:tc>
        <w:tc>
          <w:tcPr>
            <w:tcW w:w="1181"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2022</w:t>
            </w:r>
          </w:p>
        </w:tc>
      </w:tr>
      <w:tr>
        <w:tblPrEx>
          <w:tblLayout w:type="fixed"/>
          <w:tblCellMar>
            <w:top w:w="0" w:type="dxa"/>
            <w:left w:w="108" w:type="dxa"/>
            <w:bottom w:w="0" w:type="dxa"/>
            <w:right w:w="108" w:type="dxa"/>
          </w:tblCellMar>
        </w:tblPrEx>
        <w:trPr>
          <w:trHeight w:val="907" w:hRule="atLeast"/>
          <w:jc w:val="center"/>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color w:val="000000"/>
                <w:kern w:val="0"/>
                <w:sz w:val="24"/>
              </w:rPr>
              <w:t>15</w:t>
            </w:r>
          </w:p>
        </w:tc>
        <w:tc>
          <w:tcPr>
            <w:tcW w:w="5496" w:type="dxa"/>
            <w:tcBorders>
              <w:top w:val="single" w:color="auto" w:sz="4" w:space="0"/>
              <w:left w:val="nil"/>
              <w:bottom w:val="single" w:color="auto" w:sz="4" w:space="0"/>
              <w:right w:val="nil"/>
            </w:tcBorders>
            <w:shd w:val="clear" w:color="auto" w:fill="auto"/>
            <w:noWrap/>
            <w:vAlign w:val="center"/>
          </w:tcPr>
          <w:p>
            <w:pPr>
              <w:widowControl/>
              <w:jc w:val="center"/>
              <w:rPr>
                <w:rFonts w:eastAsiaTheme="minorEastAsia"/>
                <w:kern w:val="0"/>
                <w:sz w:val="24"/>
              </w:rPr>
            </w:pPr>
            <w:r>
              <w:rPr>
                <w:rFonts w:eastAsiaTheme="minorEastAsia"/>
                <w:kern w:val="0"/>
                <w:sz w:val="24"/>
              </w:rPr>
              <w:t>泗县石梁河生态修复</w:t>
            </w:r>
            <w:r>
              <w:rPr>
                <w:rFonts w:hint="eastAsia" w:eastAsiaTheme="minorEastAsia"/>
                <w:kern w:val="0"/>
                <w:sz w:val="24"/>
              </w:rPr>
              <w:t>工程</w:t>
            </w:r>
          </w:p>
        </w:tc>
        <w:tc>
          <w:tcPr>
            <w:tcW w:w="5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rPr>
                <w:rFonts w:eastAsiaTheme="minorEastAsia"/>
                <w:kern w:val="0"/>
                <w:sz w:val="24"/>
              </w:rPr>
            </w:pPr>
            <w:r>
              <w:rPr>
                <w:rFonts w:eastAsiaTheme="minorEastAsia"/>
                <w:kern w:val="0"/>
                <w:sz w:val="24"/>
              </w:rPr>
              <w:t>河道及大中小沟生态修复</w:t>
            </w:r>
          </w:p>
        </w:tc>
        <w:tc>
          <w:tcPr>
            <w:tcW w:w="939"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泗县人民政府</w:t>
            </w:r>
          </w:p>
        </w:tc>
        <w:tc>
          <w:tcPr>
            <w:tcW w:w="1181"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2022</w:t>
            </w:r>
          </w:p>
        </w:tc>
      </w:tr>
      <w:tr>
        <w:tblPrEx>
          <w:tblLayout w:type="fixed"/>
          <w:tblCellMar>
            <w:top w:w="0" w:type="dxa"/>
            <w:left w:w="108" w:type="dxa"/>
            <w:bottom w:w="0" w:type="dxa"/>
            <w:right w:w="108" w:type="dxa"/>
          </w:tblCellMar>
        </w:tblPrEx>
        <w:trPr>
          <w:trHeight w:val="907" w:hRule="atLeast"/>
          <w:jc w:val="center"/>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color w:val="000000"/>
                <w:kern w:val="0"/>
                <w:sz w:val="24"/>
              </w:rPr>
              <w:t>16</w:t>
            </w:r>
          </w:p>
        </w:tc>
        <w:tc>
          <w:tcPr>
            <w:tcW w:w="5496" w:type="dxa"/>
            <w:tcBorders>
              <w:top w:val="single" w:color="auto" w:sz="4" w:space="0"/>
              <w:left w:val="nil"/>
              <w:bottom w:val="single" w:color="auto" w:sz="4" w:space="0"/>
              <w:right w:val="nil"/>
            </w:tcBorders>
            <w:shd w:val="clear" w:color="auto" w:fill="auto"/>
            <w:noWrap/>
            <w:vAlign w:val="center"/>
          </w:tcPr>
          <w:p>
            <w:pPr>
              <w:widowControl/>
              <w:jc w:val="center"/>
              <w:rPr>
                <w:rFonts w:eastAsiaTheme="minorEastAsia"/>
                <w:kern w:val="0"/>
                <w:sz w:val="24"/>
              </w:rPr>
            </w:pPr>
            <w:r>
              <w:rPr>
                <w:rFonts w:eastAsiaTheme="minorEastAsia"/>
                <w:kern w:val="0"/>
                <w:sz w:val="24"/>
              </w:rPr>
              <w:t>泗县新汴河新濉河拓展延伸段</w:t>
            </w:r>
            <w:r>
              <w:rPr>
                <w:rFonts w:hint="eastAsia" w:eastAsiaTheme="minorEastAsia"/>
                <w:kern w:val="0"/>
                <w:sz w:val="24"/>
              </w:rPr>
              <w:t>建设工程</w:t>
            </w:r>
          </w:p>
        </w:tc>
        <w:tc>
          <w:tcPr>
            <w:tcW w:w="5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rPr>
                <w:rFonts w:eastAsiaTheme="minorEastAsia"/>
                <w:kern w:val="0"/>
                <w:sz w:val="24"/>
              </w:rPr>
            </w:pPr>
            <w:r>
              <w:rPr>
                <w:rFonts w:eastAsiaTheme="minorEastAsia"/>
                <w:kern w:val="0"/>
                <w:sz w:val="24"/>
              </w:rPr>
              <w:t>提升改造新汴河、新濉河沿线建设</w:t>
            </w:r>
          </w:p>
        </w:tc>
        <w:tc>
          <w:tcPr>
            <w:tcW w:w="939"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泗县人民政府</w:t>
            </w:r>
          </w:p>
        </w:tc>
        <w:tc>
          <w:tcPr>
            <w:tcW w:w="1181"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2022</w:t>
            </w:r>
          </w:p>
        </w:tc>
      </w:tr>
      <w:tr>
        <w:tblPrEx>
          <w:tblLayout w:type="fixed"/>
          <w:tblCellMar>
            <w:top w:w="0" w:type="dxa"/>
            <w:left w:w="108" w:type="dxa"/>
            <w:bottom w:w="0" w:type="dxa"/>
            <w:right w:w="108" w:type="dxa"/>
          </w:tblCellMar>
        </w:tblPrEx>
        <w:trPr>
          <w:trHeight w:val="907" w:hRule="atLeast"/>
          <w:jc w:val="center"/>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color w:val="000000"/>
                <w:kern w:val="0"/>
                <w:sz w:val="24"/>
              </w:rPr>
              <w:t>17</w:t>
            </w:r>
          </w:p>
        </w:tc>
        <w:tc>
          <w:tcPr>
            <w:tcW w:w="5496" w:type="dxa"/>
            <w:tcBorders>
              <w:top w:val="single" w:color="auto" w:sz="4" w:space="0"/>
              <w:left w:val="nil"/>
              <w:bottom w:val="single" w:color="auto" w:sz="4" w:space="0"/>
              <w:right w:val="nil"/>
            </w:tcBorders>
            <w:shd w:val="clear" w:color="auto" w:fill="auto"/>
            <w:noWrap/>
            <w:vAlign w:val="center"/>
          </w:tcPr>
          <w:p>
            <w:pPr>
              <w:widowControl/>
              <w:jc w:val="center"/>
              <w:rPr>
                <w:rFonts w:eastAsiaTheme="minorEastAsia"/>
                <w:kern w:val="0"/>
                <w:sz w:val="24"/>
              </w:rPr>
            </w:pPr>
            <w:r>
              <w:rPr>
                <w:rFonts w:eastAsiaTheme="minorEastAsia"/>
                <w:kern w:val="0"/>
                <w:sz w:val="24"/>
              </w:rPr>
              <w:t>石龙湖流域综合治理</w:t>
            </w:r>
            <w:r>
              <w:rPr>
                <w:rFonts w:hint="eastAsia" w:eastAsiaTheme="minorEastAsia"/>
                <w:kern w:val="0"/>
                <w:sz w:val="24"/>
              </w:rPr>
              <w:t>工程</w:t>
            </w:r>
          </w:p>
        </w:tc>
        <w:tc>
          <w:tcPr>
            <w:tcW w:w="541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rPr>
                <w:rFonts w:eastAsiaTheme="minorEastAsia"/>
                <w:kern w:val="0"/>
                <w:sz w:val="24"/>
              </w:rPr>
            </w:pPr>
            <w:r>
              <w:rPr>
                <w:rFonts w:eastAsiaTheme="minorEastAsia"/>
                <w:kern w:val="0"/>
                <w:sz w:val="24"/>
              </w:rPr>
              <w:t>主要包括引河入湖、破堤扩湖、环路展湖、吊桥、节制闸及石龙湖湿地清淤、生态修复、违建拆除、水质改善等</w:t>
            </w:r>
          </w:p>
        </w:tc>
        <w:tc>
          <w:tcPr>
            <w:tcW w:w="939"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泗县人民政府</w:t>
            </w:r>
          </w:p>
        </w:tc>
        <w:tc>
          <w:tcPr>
            <w:tcW w:w="1181"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2022</w:t>
            </w:r>
          </w:p>
        </w:tc>
      </w:tr>
      <w:tr>
        <w:tblPrEx>
          <w:tblLayout w:type="fixed"/>
          <w:tblCellMar>
            <w:top w:w="0" w:type="dxa"/>
            <w:left w:w="108" w:type="dxa"/>
            <w:bottom w:w="0" w:type="dxa"/>
            <w:right w:w="108" w:type="dxa"/>
          </w:tblCellMar>
        </w:tblPrEx>
        <w:trPr>
          <w:trHeight w:val="907" w:hRule="atLeast"/>
          <w:jc w:val="center"/>
        </w:trPr>
        <w:tc>
          <w:tcPr>
            <w:tcW w:w="698"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color w:val="000000"/>
                <w:kern w:val="0"/>
                <w:sz w:val="24"/>
              </w:rPr>
              <w:t>18</w:t>
            </w:r>
          </w:p>
        </w:tc>
        <w:tc>
          <w:tcPr>
            <w:tcW w:w="5496" w:type="dxa"/>
            <w:tcBorders>
              <w:top w:val="single" w:color="auto" w:sz="4" w:space="0"/>
              <w:left w:val="nil"/>
              <w:bottom w:val="single" w:color="auto" w:sz="4" w:space="0"/>
              <w:right w:val="nil"/>
            </w:tcBorders>
            <w:shd w:val="clear" w:color="auto" w:fill="auto"/>
            <w:noWrap/>
            <w:vAlign w:val="center"/>
          </w:tcPr>
          <w:p>
            <w:pPr>
              <w:widowControl/>
              <w:jc w:val="center"/>
              <w:rPr>
                <w:color w:val="000000"/>
                <w:kern w:val="0"/>
                <w:sz w:val="24"/>
              </w:rPr>
            </w:pPr>
            <w:r>
              <w:rPr>
                <w:color w:val="000000"/>
                <w:kern w:val="0"/>
                <w:sz w:val="24"/>
              </w:rPr>
              <w:t>大运河宿州段水生态环境监测网络建设与管理项目</w:t>
            </w:r>
          </w:p>
        </w:tc>
        <w:tc>
          <w:tcPr>
            <w:tcW w:w="5415" w:type="dxa"/>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rPr>
                <w:sz w:val="24"/>
              </w:rPr>
            </w:pPr>
            <w:r>
              <w:rPr>
                <w:color w:val="000000"/>
                <w:kern w:val="0"/>
                <w:sz w:val="24"/>
              </w:rPr>
              <w:t>计划在大运河宿州段泗县境内建设5个县级微型监测点（大运河唐河交汇处、</w:t>
            </w:r>
            <w:r>
              <w:rPr>
                <w:rFonts w:hint="eastAsia"/>
                <w:color w:val="000000"/>
                <w:kern w:val="0"/>
                <w:sz w:val="24"/>
              </w:rPr>
              <w:t>大运河洪灵沟交汇处</w:t>
            </w:r>
            <w:r>
              <w:rPr>
                <w:color w:val="000000"/>
                <w:kern w:val="0"/>
                <w:sz w:val="24"/>
              </w:rPr>
              <w:t>、泗州桥、东关桥、濉河大运河交汇处），以此来</w:t>
            </w:r>
            <w:r>
              <w:rPr>
                <w:sz w:val="24"/>
              </w:rPr>
              <w:t>全面加强水质监测，密切关注大运河的水质、水量的变化情况，加大对各主要入河排污口的水质水情监测力度，完成常规水质参数以及叶绿素、氮、磷等富营养化指标和生物毒性等水质指标的实时连续监测，掌握水质状况和动态变化趋势。</w:t>
            </w:r>
          </w:p>
        </w:tc>
        <w:tc>
          <w:tcPr>
            <w:tcW w:w="939" w:type="dxa"/>
            <w:tcBorders>
              <w:top w:val="single" w:color="auto" w:sz="4" w:space="0"/>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泗县人民政府</w:t>
            </w:r>
          </w:p>
        </w:tc>
        <w:tc>
          <w:tcPr>
            <w:tcW w:w="1181" w:type="dxa"/>
            <w:tcBorders>
              <w:top w:val="single" w:color="auto" w:sz="4" w:space="0"/>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202</w:t>
            </w:r>
            <w:r>
              <w:rPr>
                <w:rFonts w:hint="eastAsia"/>
                <w:color w:val="000000"/>
                <w:kern w:val="0"/>
                <w:sz w:val="24"/>
              </w:rPr>
              <w:t>3</w:t>
            </w:r>
          </w:p>
        </w:tc>
      </w:tr>
    </w:tbl>
    <w:p>
      <w:pPr>
        <w:spacing w:line="600" w:lineRule="exact"/>
        <w:rPr>
          <w:rFonts w:eastAsiaTheme="minorEastAsia"/>
          <w:sz w:val="28"/>
          <w:szCs w:val="28"/>
        </w:rPr>
        <w:sectPr>
          <w:footerReference r:id="rId23" w:type="default"/>
          <w:pgSz w:w="16838" w:h="11906" w:orient="landscape"/>
          <w:pgMar w:top="1797" w:right="1440" w:bottom="1797" w:left="1440" w:header="567" w:footer="1417" w:gutter="0"/>
          <w:cols w:space="425" w:num="1"/>
          <w:docGrid w:type="lines" w:linePitch="312" w:charSpace="0"/>
        </w:sectPr>
      </w:pPr>
    </w:p>
    <w:p>
      <w:pPr>
        <w:pStyle w:val="3"/>
        <w:spacing w:before="374" w:beforeLines="120" w:after="374" w:afterLines="120"/>
      </w:pPr>
      <w:bookmarkStart w:id="144" w:name="_Toc84536552"/>
      <w:r>
        <w:rPr>
          <w:rFonts w:hint="eastAsia"/>
        </w:rPr>
        <w:t>5 大运河宿州段长效保护机制方案</w:t>
      </w:r>
      <w:bookmarkEnd w:id="144"/>
    </w:p>
    <w:p>
      <w:pPr>
        <w:pStyle w:val="4"/>
        <w:spacing w:before="312" w:after="312"/>
        <w:rPr>
          <w:rFonts w:eastAsiaTheme="minorEastAsia"/>
        </w:rPr>
      </w:pPr>
      <w:bookmarkStart w:id="145" w:name="_Toc426893727"/>
      <w:bookmarkStart w:id="146" w:name="_Toc424768082"/>
      <w:bookmarkStart w:id="147" w:name="_Toc84536553"/>
      <w:bookmarkStart w:id="148" w:name="_Toc340677951"/>
      <w:bookmarkStart w:id="149" w:name="_Toc423441024"/>
      <w:bookmarkStart w:id="150" w:name="_Toc410030091"/>
      <w:bookmarkStart w:id="151" w:name="_Toc446947145"/>
      <w:bookmarkStart w:id="152" w:name="_Toc337046876"/>
      <w:bookmarkStart w:id="153" w:name="_Toc419042412"/>
      <w:r>
        <w:rPr>
          <w:rFonts w:hint="eastAsia" w:eastAsiaTheme="minorEastAsia"/>
        </w:rPr>
        <w:t>5</w:t>
      </w:r>
      <w:r>
        <w:rPr>
          <w:rFonts w:eastAsiaTheme="minorEastAsia"/>
        </w:rPr>
        <w:t>.1 完善法规</w:t>
      </w:r>
      <w:r>
        <w:rPr>
          <w:rFonts w:hint="eastAsia" w:eastAsiaTheme="minorEastAsia"/>
        </w:rPr>
        <w:t>，</w:t>
      </w:r>
      <w:r>
        <w:rPr>
          <w:rFonts w:eastAsiaTheme="minorEastAsia"/>
        </w:rPr>
        <w:t>严格执法管理</w:t>
      </w:r>
      <w:bookmarkEnd w:id="145"/>
      <w:bookmarkEnd w:id="146"/>
      <w:bookmarkEnd w:id="147"/>
      <w:bookmarkEnd w:id="148"/>
      <w:bookmarkEnd w:id="149"/>
      <w:bookmarkEnd w:id="150"/>
      <w:bookmarkEnd w:id="151"/>
      <w:bookmarkEnd w:id="152"/>
      <w:bookmarkEnd w:id="153"/>
    </w:p>
    <w:p>
      <w:pPr>
        <w:spacing w:line="360" w:lineRule="auto"/>
        <w:ind w:firstLine="560" w:firstLineChars="200"/>
        <w:rPr>
          <w:rFonts w:eastAsiaTheme="minorEastAsia"/>
          <w:sz w:val="28"/>
          <w:szCs w:val="28"/>
        </w:rPr>
      </w:pPr>
      <w:bookmarkStart w:id="154" w:name="_Toc225255162"/>
      <w:bookmarkStart w:id="155" w:name="_Toc224021636"/>
      <w:bookmarkStart w:id="156" w:name="_Toc214856623"/>
      <w:bookmarkStart w:id="157" w:name="_Toc214877370"/>
      <w:r>
        <w:rPr>
          <w:rFonts w:eastAsiaTheme="minorEastAsia"/>
          <w:sz w:val="28"/>
          <w:szCs w:val="28"/>
        </w:rPr>
        <w:t>建立与完善相关法规。</w:t>
      </w:r>
      <w:bookmarkEnd w:id="154"/>
      <w:bookmarkEnd w:id="155"/>
      <w:bookmarkEnd w:id="156"/>
      <w:bookmarkEnd w:id="157"/>
      <w:r>
        <w:rPr>
          <w:rFonts w:eastAsiaTheme="minorEastAsia"/>
          <w:sz w:val="28"/>
          <w:szCs w:val="28"/>
        </w:rPr>
        <w:t>依据国家、</w:t>
      </w:r>
      <w:r>
        <w:rPr>
          <w:rFonts w:hint="eastAsia" w:eastAsiaTheme="minorEastAsia"/>
          <w:sz w:val="28"/>
          <w:szCs w:val="28"/>
        </w:rPr>
        <w:t>宿州市</w:t>
      </w:r>
      <w:r>
        <w:rPr>
          <w:rFonts w:eastAsiaTheme="minorEastAsia"/>
          <w:sz w:val="28"/>
          <w:szCs w:val="28"/>
        </w:rPr>
        <w:t>有关法律法规，制订出台</w:t>
      </w:r>
      <w:r>
        <w:rPr>
          <w:rFonts w:hint="eastAsia" w:eastAsiaTheme="minorEastAsia"/>
          <w:sz w:val="28"/>
          <w:szCs w:val="28"/>
        </w:rPr>
        <w:t>大运河宿州段</w:t>
      </w:r>
      <w:r>
        <w:rPr>
          <w:rFonts w:eastAsiaTheme="minorEastAsia"/>
          <w:sz w:val="28"/>
          <w:szCs w:val="28"/>
        </w:rPr>
        <w:t>综合管理办法，进一步理顺管理体制、强化管理手段。</w:t>
      </w:r>
    </w:p>
    <w:p>
      <w:pPr>
        <w:spacing w:line="360" w:lineRule="auto"/>
        <w:ind w:firstLine="560" w:firstLineChars="200"/>
        <w:rPr>
          <w:rFonts w:eastAsiaTheme="minorEastAsia"/>
          <w:sz w:val="28"/>
          <w:szCs w:val="28"/>
        </w:rPr>
      </w:pPr>
      <w:r>
        <w:rPr>
          <w:rFonts w:eastAsiaTheme="minorEastAsia"/>
          <w:sz w:val="28"/>
          <w:szCs w:val="28"/>
        </w:rPr>
        <w:t>尽快颁布实施《</w:t>
      </w:r>
      <w:r>
        <w:rPr>
          <w:rFonts w:hint="eastAsia" w:eastAsiaTheme="minorEastAsia"/>
          <w:sz w:val="28"/>
          <w:szCs w:val="28"/>
        </w:rPr>
        <w:t>大运河宿州段</w:t>
      </w:r>
      <w:r>
        <w:rPr>
          <w:rFonts w:eastAsiaTheme="minorEastAsia"/>
          <w:sz w:val="28"/>
          <w:szCs w:val="28"/>
        </w:rPr>
        <w:t>污染防治办法》，使</w:t>
      </w:r>
      <w:r>
        <w:rPr>
          <w:rFonts w:hint="eastAsia" w:eastAsiaTheme="minorEastAsia"/>
          <w:sz w:val="28"/>
          <w:szCs w:val="28"/>
        </w:rPr>
        <w:t>大运河宿州段</w:t>
      </w:r>
      <w:r>
        <w:rPr>
          <w:rFonts w:eastAsiaTheme="minorEastAsia"/>
          <w:sz w:val="28"/>
          <w:szCs w:val="28"/>
        </w:rPr>
        <w:t>水环境保护有章可循，同时加快</w:t>
      </w:r>
      <w:r>
        <w:rPr>
          <w:rFonts w:hint="eastAsia" w:eastAsiaTheme="minorEastAsia"/>
          <w:sz w:val="28"/>
          <w:szCs w:val="28"/>
        </w:rPr>
        <w:t>大运河宿州段</w:t>
      </w:r>
      <w:r>
        <w:rPr>
          <w:rFonts w:eastAsiaTheme="minorEastAsia"/>
          <w:sz w:val="28"/>
          <w:szCs w:val="28"/>
        </w:rPr>
        <w:t>监测信息发布和管理、污染责任追究与补偿等相关制度。</w:t>
      </w:r>
    </w:p>
    <w:p>
      <w:pPr>
        <w:spacing w:line="360" w:lineRule="auto"/>
        <w:ind w:firstLine="560" w:firstLineChars="200"/>
        <w:rPr>
          <w:rFonts w:eastAsiaTheme="minorEastAsia"/>
          <w:sz w:val="28"/>
          <w:szCs w:val="28"/>
        </w:rPr>
      </w:pPr>
      <w:r>
        <w:rPr>
          <w:rFonts w:eastAsiaTheme="minorEastAsia"/>
          <w:sz w:val="28"/>
          <w:szCs w:val="28"/>
        </w:rPr>
        <w:t>严格执行相关法律法规，加大</w:t>
      </w:r>
      <w:r>
        <w:rPr>
          <w:rFonts w:hint="eastAsia" w:eastAsiaTheme="minorEastAsia"/>
          <w:sz w:val="28"/>
          <w:szCs w:val="28"/>
        </w:rPr>
        <w:t>大运河宿州段</w:t>
      </w:r>
      <w:r>
        <w:rPr>
          <w:rFonts w:eastAsiaTheme="minorEastAsia"/>
          <w:sz w:val="28"/>
          <w:szCs w:val="28"/>
        </w:rPr>
        <w:t>流域环境违法行为执法力度，对恶意排污行为依法从重处罚。严格执行排放许可、限期治理、建设项目的环境影响评价制度，从源头加强项目环境准入控制，坚决防止产生新的污染。对未批先建、未经验收擅自投产的建设项目，责令停产停建。对治理无望的企业和落后生产能力，实施关闭淘汰。有悖于环保法律法规的地方性规定，要立即全部取消。对违法排污的企业负责人和失职、渎职的领导干部，要坚决查处，情节严重的要依法追究刑事责任。</w:t>
      </w:r>
      <w:bookmarkStart w:id="158" w:name="_Toc424768083"/>
      <w:bookmarkStart w:id="159" w:name="_Toc410030092"/>
      <w:bookmarkStart w:id="160" w:name="_Toc340677952"/>
      <w:bookmarkStart w:id="161" w:name="_Toc337046877"/>
      <w:bookmarkStart w:id="162" w:name="_Toc423441025"/>
      <w:bookmarkStart w:id="163" w:name="_Toc446947146"/>
      <w:bookmarkStart w:id="164" w:name="_Toc419042413"/>
      <w:bookmarkStart w:id="165" w:name="_Toc426893728"/>
    </w:p>
    <w:p>
      <w:pPr>
        <w:pStyle w:val="4"/>
        <w:spacing w:before="312" w:after="312"/>
        <w:rPr>
          <w:rFonts w:eastAsiaTheme="minorEastAsia"/>
        </w:rPr>
      </w:pPr>
      <w:bookmarkStart w:id="166" w:name="_Toc84536554"/>
      <w:r>
        <w:rPr>
          <w:rFonts w:hint="eastAsia" w:eastAsiaTheme="minorEastAsia"/>
        </w:rPr>
        <w:t>5</w:t>
      </w:r>
      <w:r>
        <w:rPr>
          <w:rFonts w:eastAsiaTheme="minorEastAsia"/>
        </w:rPr>
        <w:t>.2 实施环境经济激励引导</w:t>
      </w:r>
      <w:bookmarkEnd w:id="158"/>
      <w:bookmarkEnd w:id="159"/>
      <w:bookmarkEnd w:id="160"/>
      <w:bookmarkEnd w:id="161"/>
      <w:bookmarkEnd w:id="162"/>
      <w:bookmarkEnd w:id="163"/>
      <w:bookmarkEnd w:id="164"/>
      <w:bookmarkEnd w:id="165"/>
      <w:bookmarkEnd w:id="166"/>
    </w:p>
    <w:p>
      <w:pPr>
        <w:spacing w:line="360" w:lineRule="auto"/>
        <w:ind w:firstLine="560" w:firstLineChars="200"/>
        <w:rPr>
          <w:rFonts w:eastAsiaTheme="minorEastAsia"/>
          <w:sz w:val="28"/>
          <w:szCs w:val="28"/>
        </w:rPr>
      </w:pPr>
      <w:r>
        <w:rPr>
          <w:rFonts w:eastAsiaTheme="minorEastAsia"/>
          <w:sz w:val="28"/>
          <w:szCs w:val="28"/>
        </w:rPr>
        <w:t>充分发挥环境经济的激励引导作用。继续实施</w:t>
      </w:r>
      <w:r>
        <w:rPr>
          <w:rFonts w:hint="eastAsia" w:eastAsiaTheme="minorEastAsia"/>
          <w:sz w:val="28"/>
          <w:szCs w:val="28"/>
        </w:rPr>
        <w:t>“</w:t>
      </w:r>
      <w:r>
        <w:rPr>
          <w:rFonts w:eastAsiaTheme="minorEastAsia"/>
          <w:sz w:val="28"/>
          <w:szCs w:val="28"/>
        </w:rPr>
        <w:t>以奖促治</w:t>
      </w:r>
      <w:r>
        <w:rPr>
          <w:rFonts w:hint="eastAsia" w:eastAsiaTheme="minorEastAsia"/>
          <w:sz w:val="28"/>
          <w:szCs w:val="28"/>
        </w:rPr>
        <w:t>”</w:t>
      </w:r>
      <w:r>
        <w:rPr>
          <w:rFonts w:eastAsiaTheme="minorEastAsia"/>
          <w:sz w:val="28"/>
          <w:szCs w:val="28"/>
        </w:rPr>
        <w:t>、</w:t>
      </w:r>
      <w:r>
        <w:rPr>
          <w:rFonts w:hint="eastAsia" w:eastAsiaTheme="minorEastAsia"/>
          <w:sz w:val="28"/>
          <w:szCs w:val="28"/>
        </w:rPr>
        <w:t>“</w:t>
      </w:r>
      <w:r>
        <w:rPr>
          <w:rFonts w:eastAsiaTheme="minorEastAsia"/>
          <w:sz w:val="28"/>
          <w:szCs w:val="28"/>
        </w:rPr>
        <w:t>以奖促减</w:t>
      </w:r>
      <w:r>
        <w:rPr>
          <w:rFonts w:hint="eastAsia" w:eastAsiaTheme="minorEastAsia"/>
          <w:sz w:val="28"/>
          <w:szCs w:val="28"/>
        </w:rPr>
        <w:t>”</w:t>
      </w:r>
      <w:r>
        <w:rPr>
          <w:rFonts w:eastAsiaTheme="minorEastAsia"/>
          <w:sz w:val="28"/>
          <w:szCs w:val="28"/>
        </w:rPr>
        <w:t>、</w:t>
      </w:r>
      <w:r>
        <w:rPr>
          <w:rFonts w:hint="eastAsia" w:eastAsiaTheme="minorEastAsia"/>
          <w:sz w:val="28"/>
          <w:szCs w:val="28"/>
        </w:rPr>
        <w:t>“</w:t>
      </w:r>
      <w:r>
        <w:rPr>
          <w:rFonts w:eastAsiaTheme="minorEastAsia"/>
          <w:sz w:val="28"/>
          <w:szCs w:val="28"/>
        </w:rPr>
        <w:t>以奖代补</w:t>
      </w:r>
      <w:r>
        <w:rPr>
          <w:rFonts w:hint="eastAsia" w:eastAsiaTheme="minorEastAsia"/>
          <w:sz w:val="28"/>
          <w:szCs w:val="28"/>
        </w:rPr>
        <w:t>”</w:t>
      </w:r>
      <w:r>
        <w:rPr>
          <w:rFonts w:eastAsiaTheme="minorEastAsia"/>
          <w:sz w:val="28"/>
          <w:szCs w:val="28"/>
        </w:rPr>
        <w:t>等政策，深入推进流域污染治理和生态建设。针对大水大肥的耕作模式，考虑依据其化肥施用量和水资源利用量收取面源排污费，用于鼓励农业垃圾堆肥还田和减少农药化肥的施用，以此倡导节约用水和发展无公害农产品的新型生态农业模式。积极鼓励各类企业参与</w:t>
      </w:r>
      <w:r>
        <w:rPr>
          <w:rFonts w:hint="eastAsia" w:eastAsiaTheme="minorEastAsia"/>
          <w:sz w:val="28"/>
          <w:szCs w:val="28"/>
        </w:rPr>
        <w:t>大运河宿州段</w:t>
      </w:r>
      <w:r>
        <w:rPr>
          <w:rFonts w:eastAsiaTheme="minorEastAsia"/>
          <w:sz w:val="28"/>
          <w:szCs w:val="28"/>
        </w:rPr>
        <w:t>的管理保护，对于污染排放严重的企业按照排放量收取排污费</w:t>
      </w:r>
      <w:r>
        <w:rPr>
          <w:rFonts w:hint="eastAsia" w:eastAsiaTheme="minorEastAsia"/>
          <w:sz w:val="28"/>
          <w:szCs w:val="28"/>
        </w:rPr>
        <w:t>；</w:t>
      </w:r>
      <w:r>
        <w:rPr>
          <w:rFonts w:eastAsiaTheme="minorEastAsia"/>
          <w:sz w:val="28"/>
          <w:szCs w:val="28"/>
        </w:rPr>
        <w:t>对于采取先进工艺进行技术改进、对污水进行有效处理、达标排放的企业则予以一定的奖励。</w:t>
      </w:r>
      <w:r>
        <w:rPr>
          <w:rFonts w:hint="eastAsia" w:eastAsiaTheme="minorEastAsia"/>
          <w:sz w:val="28"/>
          <w:szCs w:val="28"/>
        </w:rPr>
        <w:t>“研究制定流域”“退耕还湿”激励政策</w:t>
      </w:r>
      <w:r>
        <w:rPr>
          <w:rFonts w:eastAsiaTheme="minorEastAsia"/>
          <w:sz w:val="28"/>
          <w:szCs w:val="28"/>
        </w:rPr>
        <w:t>。</w:t>
      </w:r>
    </w:p>
    <w:p>
      <w:pPr>
        <w:spacing w:line="360" w:lineRule="auto"/>
        <w:ind w:firstLine="560" w:firstLineChars="200"/>
        <w:rPr>
          <w:rFonts w:eastAsiaTheme="minorEastAsia"/>
          <w:sz w:val="28"/>
          <w:szCs w:val="28"/>
        </w:rPr>
      </w:pPr>
      <w:r>
        <w:rPr>
          <w:rFonts w:eastAsiaTheme="minorEastAsia"/>
          <w:sz w:val="28"/>
          <w:szCs w:val="28"/>
        </w:rPr>
        <w:t>探索建立生态补偿机制。研究区位生态补偿办法，探索通过一般性财政转移支付弥补上游地方政府在严格保护中蒙受的税收损失以及农民蒙受的直接经济损失和生态投资成本。在流域上下游之间建立水权转让机制，界定水资源的使用权</w:t>
      </w:r>
      <w:r>
        <w:rPr>
          <w:rFonts w:hint="eastAsia" w:eastAsiaTheme="minorEastAsia"/>
          <w:sz w:val="28"/>
          <w:szCs w:val="28"/>
        </w:rPr>
        <w:t>，</w:t>
      </w:r>
      <w:r>
        <w:rPr>
          <w:rFonts w:eastAsiaTheme="minorEastAsia"/>
          <w:sz w:val="28"/>
          <w:szCs w:val="28"/>
        </w:rPr>
        <w:t>制定水权交易政策</w:t>
      </w:r>
      <w:r>
        <w:rPr>
          <w:rFonts w:hint="eastAsia" w:eastAsiaTheme="minorEastAsia"/>
          <w:sz w:val="28"/>
          <w:szCs w:val="28"/>
        </w:rPr>
        <w:t>，</w:t>
      </w:r>
      <w:r>
        <w:rPr>
          <w:rFonts w:eastAsiaTheme="minorEastAsia"/>
          <w:sz w:val="28"/>
          <w:szCs w:val="28"/>
        </w:rPr>
        <w:t>使下游参考一定标准和市场价格向上游地区支付水资源使用费，针对流域内不能布置污染项目</w:t>
      </w:r>
      <w:r>
        <w:rPr>
          <w:rFonts w:hint="eastAsia" w:eastAsiaTheme="minorEastAsia"/>
          <w:sz w:val="28"/>
          <w:szCs w:val="28"/>
        </w:rPr>
        <w:t>，</w:t>
      </w:r>
      <w:r>
        <w:rPr>
          <w:rFonts w:eastAsiaTheme="minorEastAsia"/>
          <w:sz w:val="28"/>
          <w:szCs w:val="28"/>
        </w:rPr>
        <w:t>可在收益地区的非流域范围专门为流域地区设立工业开发区</w:t>
      </w:r>
      <w:r>
        <w:rPr>
          <w:rFonts w:hint="eastAsia" w:eastAsiaTheme="minorEastAsia"/>
          <w:sz w:val="28"/>
          <w:szCs w:val="28"/>
        </w:rPr>
        <w:t>，</w:t>
      </w:r>
      <w:r>
        <w:rPr>
          <w:rFonts w:eastAsiaTheme="minorEastAsia"/>
          <w:sz w:val="28"/>
          <w:szCs w:val="28"/>
        </w:rPr>
        <w:t>承揽流域产业转移和吸纳其招商引资项目</w:t>
      </w:r>
      <w:r>
        <w:rPr>
          <w:rFonts w:hint="eastAsia" w:eastAsiaTheme="minorEastAsia"/>
          <w:sz w:val="28"/>
          <w:szCs w:val="28"/>
        </w:rPr>
        <w:t>，</w:t>
      </w:r>
      <w:r>
        <w:rPr>
          <w:rFonts w:eastAsiaTheme="minorEastAsia"/>
          <w:sz w:val="28"/>
          <w:szCs w:val="28"/>
        </w:rPr>
        <w:t>促进全流域经济发展和产业提升。建立生态补偿考核机制，完善对生态补偿资助项目建设进展、运行效果的监督考核制度，制定相应的激励政策。</w:t>
      </w:r>
    </w:p>
    <w:p>
      <w:pPr>
        <w:pStyle w:val="4"/>
        <w:spacing w:before="312" w:after="312"/>
        <w:rPr>
          <w:rFonts w:eastAsiaTheme="minorEastAsia"/>
        </w:rPr>
      </w:pPr>
      <w:bookmarkStart w:id="167" w:name="_Toc446947147"/>
      <w:bookmarkStart w:id="168" w:name="_Toc426893729"/>
      <w:bookmarkStart w:id="169" w:name="_Toc423441026"/>
      <w:bookmarkStart w:id="170" w:name="_Toc424768084"/>
      <w:bookmarkStart w:id="171" w:name="_Toc340677953"/>
      <w:bookmarkStart w:id="172" w:name="_Toc419042414"/>
      <w:bookmarkStart w:id="173" w:name="_Toc410030093"/>
      <w:bookmarkStart w:id="174" w:name="_Toc337046878"/>
      <w:bookmarkStart w:id="175" w:name="_Toc84536555"/>
      <w:r>
        <w:rPr>
          <w:rFonts w:hint="eastAsia" w:eastAsiaTheme="minorEastAsia"/>
        </w:rPr>
        <w:t>5</w:t>
      </w:r>
      <w:r>
        <w:rPr>
          <w:rFonts w:eastAsiaTheme="minorEastAsia"/>
        </w:rPr>
        <w:t xml:space="preserve">.3 </w:t>
      </w:r>
      <w:bookmarkEnd w:id="167"/>
      <w:bookmarkEnd w:id="168"/>
      <w:bookmarkEnd w:id="169"/>
      <w:bookmarkEnd w:id="170"/>
      <w:bookmarkEnd w:id="171"/>
      <w:bookmarkEnd w:id="172"/>
      <w:bookmarkEnd w:id="173"/>
      <w:bookmarkEnd w:id="174"/>
      <w:r>
        <w:rPr>
          <w:rFonts w:hint="eastAsia" w:eastAsiaTheme="minorEastAsia"/>
        </w:rPr>
        <w:t>加强生态环境监测评估与管理</w:t>
      </w:r>
      <w:bookmarkEnd w:id="175"/>
    </w:p>
    <w:p>
      <w:pPr>
        <w:spacing w:line="360" w:lineRule="auto"/>
        <w:ind w:firstLine="560" w:firstLineChars="200"/>
        <w:rPr>
          <w:rFonts w:eastAsiaTheme="minorEastAsia"/>
          <w:sz w:val="28"/>
          <w:szCs w:val="28"/>
        </w:rPr>
      </w:pPr>
      <w:bookmarkStart w:id="176" w:name="_Toc426893730"/>
      <w:bookmarkStart w:id="177" w:name="_Toc446947148"/>
      <w:bookmarkStart w:id="178" w:name="_Toc424768085"/>
      <w:bookmarkStart w:id="179" w:name="_Toc410030094"/>
      <w:bookmarkStart w:id="180" w:name="_Toc340677954"/>
      <w:bookmarkStart w:id="181" w:name="_Toc419042415"/>
      <w:bookmarkStart w:id="182" w:name="_Toc423441027"/>
      <w:bookmarkStart w:id="183" w:name="_Toc337046879"/>
      <w:r>
        <w:rPr>
          <w:rFonts w:hint="eastAsia" w:eastAsiaTheme="minorEastAsia"/>
          <w:sz w:val="28"/>
          <w:szCs w:val="28"/>
        </w:rPr>
        <w:t>提升生态环境监测质量水平。加强区域内生态环境质量监测，完善监测点空间布局，丰富监测点信息采集数据种类和数量。强化高新技术应用，加强大数据、人工智能、卫星遥感、无人机、无人船等高新技术在生态环境监测和质量管理中的应用，实现异常数据智能识别、自动报警。优化数据管理和监测平台的共建共享，完善数据资源统筹管理和共享制度，建立统一组织领导、统一网络规划、统一制度规范、统一数据管理、统一信息发布的生态环境监测格局；开展生态环境监测新技术、新方法和全过程质控技术研究，加快研发与推广应用便携、快速、自动监测仪器设备。</w:t>
      </w:r>
    </w:p>
    <w:p>
      <w:pPr>
        <w:spacing w:line="360" w:lineRule="auto"/>
        <w:ind w:firstLine="560" w:firstLineChars="200"/>
        <w:rPr>
          <w:rFonts w:eastAsiaTheme="minorEastAsia"/>
          <w:sz w:val="28"/>
          <w:szCs w:val="28"/>
        </w:rPr>
      </w:pPr>
      <w:r>
        <w:rPr>
          <w:rFonts w:hint="eastAsia" w:eastAsiaTheme="minorEastAsia"/>
          <w:sz w:val="28"/>
          <w:szCs w:val="28"/>
        </w:rPr>
        <w:t>强化生态环境等领域监测评估。充分发挥地面生态系统、环境、气象、水文水资源、水土保持、海洋等监测站点和卫星遥感的作用，形成涵盖气象、土壤、水文水资源、水环境、生物等全要素生态环境动态监测网络，重点针对天然林保护、草场资源状况、自然湿地保有量及河湖生态系统完整性，开展生态环境监测与评估。定期开展区域重要渔业资源、珍稀濒危野生动植物种群、干支流水体入侵物种的调查与评估，建立生物资源台账。</w:t>
      </w:r>
    </w:p>
    <w:p>
      <w:pPr>
        <w:pStyle w:val="4"/>
        <w:spacing w:before="312" w:after="312"/>
        <w:rPr>
          <w:rFonts w:ascii="仿宋_GB2312" w:eastAsia="仿宋_GB2312" w:cs="仿宋_GB2312"/>
          <w:kern w:val="0"/>
          <w:sz w:val="32"/>
        </w:rPr>
      </w:pPr>
      <w:bookmarkStart w:id="184" w:name="_Toc84536556"/>
      <w:r>
        <w:rPr>
          <w:rFonts w:hint="eastAsia" w:eastAsiaTheme="minorEastAsia"/>
        </w:rPr>
        <w:t>5</w:t>
      </w:r>
      <w:r>
        <w:rPr>
          <w:rFonts w:eastAsiaTheme="minorEastAsia"/>
        </w:rPr>
        <w:t>.4 建立</w:t>
      </w:r>
      <w:r>
        <w:rPr>
          <w:rFonts w:hint="eastAsia" w:eastAsiaTheme="minorEastAsia"/>
        </w:rPr>
        <w:t>“</w:t>
      </w:r>
      <w:r>
        <w:rPr>
          <w:rFonts w:eastAsiaTheme="minorEastAsia"/>
        </w:rPr>
        <w:t>决策者－科学家－公众</w:t>
      </w:r>
      <w:r>
        <w:rPr>
          <w:rFonts w:hint="eastAsia" w:eastAsiaTheme="minorEastAsia"/>
        </w:rPr>
        <w:t>”</w:t>
      </w:r>
      <w:r>
        <w:rPr>
          <w:rFonts w:eastAsiaTheme="minorEastAsia"/>
        </w:rPr>
        <w:t>三位一体的治河队伍</w:t>
      </w:r>
      <w:bookmarkEnd w:id="176"/>
      <w:bookmarkEnd w:id="177"/>
      <w:bookmarkEnd w:id="178"/>
      <w:bookmarkEnd w:id="179"/>
      <w:bookmarkEnd w:id="180"/>
      <w:bookmarkEnd w:id="181"/>
      <w:bookmarkEnd w:id="182"/>
      <w:bookmarkEnd w:id="183"/>
      <w:bookmarkEnd w:id="184"/>
    </w:p>
    <w:p>
      <w:pPr>
        <w:spacing w:line="360" w:lineRule="auto"/>
        <w:ind w:firstLine="560" w:firstLineChars="200"/>
        <w:rPr>
          <w:rFonts w:eastAsiaTheme="minorEastAsia"/>
          <w:sz w:val="28"/>
          <w:szCs w:val="28"/>
        </w:rPr>
      </w:pPr>
      <w:r>
        <w:rPr>
          <w:rFonts w:hint="eastAsia" w:eastAsiaTheme="minorEastAsia"/>
          <w:sz w:val="28"/>
          <w:szCs w:val="28"/>
        </w:rPr>
        <w:t>大运河宿州段</w:t>
      </w:r>
      <w:r>
        <w:rPr>
          <w:rFonts w:eastAsiaTheme="minorEastAsia"/>
          <w:sz w:val="28"/>
          <w:szCs w:val="28"/>
        </w:rPr>
        <w:t>生态环境保护应以政府为主导，</w:t>
      </w:r>
      <w:r>
        <w:rPr>
          <w:rFonts w:hint="eastAsia" w:eastAsiaTheme="minorEastAsia"/>
          <w:sz w:val="28"/>
          <w:szCs w:val="28"/>
        </w:rPr>
        <w:t>泗县</w:t>
      </w:r>
      <w:r>
        <w:rPr>
          <w:rFonts w:eastAsiaTheme="minorEastAsia"/>
          <w:sz w:val="28"/>
          <w:szCs w:val="28"/>
        </w:rPr>
        <w:t>作为实施主体，应对</w:t>
      </w:r>
      <w:r>
        <w:rPr>
          <w:rFonts w:hint="eastAsia" w:eastAsiaTheme="minorEastAsia"/>
          <w:sz w:val="28"/>
          <w:szCs w:val="28"/>
        </w:rPr>
        <w:t>大运河</w:t>
      </w:r>
      <w:r>
        <w:rPr>
          <w:rFonts w:eastAsiaTheme="minorEastAsia"/>
          <w:sz w:val="28"/>
          <w:szCs w:val="28"/>
        </w:rPr>
        <w:t>生态环境保护工作切实行使好统一监督、管理职能，加大投入，制定年度实施计划，明确目标任务，落实工作职责，负责组织推进辖区内</w:t>
      </w:r>
      <w:r>
        <w:rPr>
          <w:rFonts w:hint="eastAsia" w:eastAsiaTheme="minorEastAsia"/>
          <w:sz w:val="28"/>
          <w:szCs w:val="28"/>
        </w:rPr>
        <w:t>大运河</w:t>
      </w:r>
      <w:r>
        <w:rPr>
          <w:rFonts w:eastAsiaTheme="minorEastAsia"/>
          <w:sz w:val="28"/>
          <w:szCs w:val="28"/>
        </w:rPr>
        <w:t>流域生态环境保护项目。</w:t>
      </w:r>
    </w:p>
    <w:p>
      <w:pPr>
        <w:spacing w:line="360" w:lineRule="auto"/>
        <w:ind w:firstLine="560" w:firstLineChars="200"/>
        <w:rPr>
          <w:rFonts w:eastAsiaTheme="minorEastAsia"/>
          <w:sz w:val="28"/>
          <w:szCs w:val="28"/>
        </w:rPr>
      </w:pPr>
      <w:r>
        <w:rPr>
          <w:rFonts w:eastAsiaTheme="minorEastAsia"/>
          <w:sz w:val="28"/>
          <w:szCs w:val="28"/>
        </w:rPr>
        <w:t>政府相关部门应协调配合，各尽其责，共同推进生态环境保护工作。具有发展和保护规划职能的部门，应合理进行</w:t>
      </w:r>
      <w:r>
        <w:rPr>
          <w:rFonts w:hint="eastAsia" w:eastAsiaTheme="minorEastAsia"/>
          <w:sz w:val="28"/>
          <w:szCs w:val="28"/>
        </w:rPr>
        <w:t>大运河宿州段</w:t>
      </w:r>
      <w:r>
        <w:rPr>
          <w:rFonts w:eastAsiaTheme="minorEastAsia"/>
          <w:sz w:val="28"/>
          <w:szCs w:val="28"/>
        </w:rPr>
        <w:t>流域的总体布局；具有项目审批和开发建设职能的部门和流域内镇、街道政府，应严格</w:t>
      </w:r>
      <w:r>
        <w:rPr>
          <w:rFonts w:hint="eastAsia" w:eastAsiaTheme="minorEastAsia"/>
          <w:sz w:val="28"/>
          <w:szCs w:val="28"/>
        </w:rPr>
        <w:t>大运河宿州段</w:t>
      </w:r>
      <w:r>
        <w:rPr>
          <w:rFonts w:eastAsiaTheme="minorEastAsia"/>
          <w:sz w:val="28"/>
          <w:szCs w:val="28"/>
        </w:rPr>
        <w:t>流域建设活动的前置审批，特别应当禁止危害流域生态环境的行为，维系水体环境生态系统的安全演替；具有项目实施和监督管理职能的部门和流域内镇、街道政府，应规范流域建设项目的全过程监督管理，特别应当强化项目实施过程和运行过程对水体潜在影响的督查，防范</w:t>
      </w:r>
      <w:r>
        <w:rPr>
          <w:rFonts w:hint="eastAsia" w:eastAsiaTheme="minorEastAsia"/>
          <w:sz w:val="28"/>
          <w:szCs w:val="28"/>
        </w:rPr>
        <w:t>大运河</w:t>
      </w:r>
      <w:r>
        <w:rPr>
          <w:rFonts w:eastAsiaTheme="minorEastAsia"/>
          <w:sz w:val="28"/>
          <w:szCs w:val="28"/>
        </w:rPr>
        <w:t>水生态环境污染事件发生；具有宣传教育和群众接访职能的部门和流域内镇、街道政府，应广泛宣传，鼓励社会公众献计献策，推进流域生态环境建设与保护的热潮；具有政府部门行为监察和考核责任的部门，应拟定</w:t>
      </w:r>
      <w:r>
        <w:rPr>
          <w:rFonts w:hint="eastAsia" w:eastAsiaTheme="minorEastAsia"/>
          <w:sz w:val="28"/>
          <w:szCs w:val="28"/>
        </w:rPr>
        <w:t>大运河宿州段</w:t>
      </w:r>
      <w:r>
        <w:rPr>
          <w:rFonts w:eastAsiaTheme="minorEastAsia"/>
          <w:sz w:val="28"/>
          <w:szCs w:val="28"/>
        </w:rPr>
        <w:t>流域相关部门职责的考核办法，保障部门作用最有效的发挥。</w:t>
      </w:r>
    </w:p>
    <w:p>
      <w:pPr>
        <w:spacing w:line="360" w:lineRule="auto"/>
        <w:ind w:firstLine="560" w:firstLineChars="200"/>
        <w:rPr>
          <w:rFonts w:eastAsia="仿宋"/>
          <w:sz w:val="28"/>
          <w:szCs w:val="28"/>
        </w:rPr>
      </w:pPr>
      <w:r>
        <w:rPr>
          <w:rFonts w:eastAsiaTheme="minorEastAsia"/>
          <w:sz w:val="28"/>
          <w:szCs w:val="28"/>
        </w:rPr>
        <w:t>加强舆论监督，鼓励公众参与。充分发挥新闻媒介的舆论监督和引导作用，广泛开展宣传教育，提高流域内群众的环保意识和法制观念，加强</w:t>
      </w:r>
      <w:r>
        <w:rPr>
          <w:rFonts w:hint="eastAsia" w:eastAsiaTheme="minorEastAsia"/>
          <w:sz w:val="28"/>
          <w:szCs w:val="28"/>
        </w:rPr>
        <w:t>大运河</w:t>
      </w:r>
      <w:r>
        <w:rPr>
          <w:rFonts w:eastAsiaTheme="minorEastAsia"/>
          <w:sz w:val="28"/>
          <w:szCs w:val="28"/>
        </w:rPr>
        <w:t>水环境保护和生态建设行动的参与意识。定期公布</w:t>
      </w:r>
      <w:r>
        <w:rPr>
          <w:rFonts w:hint="eastAsia" w:eastAsiaTheme="minorEastAsia"/>
          <w:sz w:val="28"/>
          <w:szCs w:val="28"/>
        </w:rPr>
        <w:t>大运河宿州段</w:t>
      </w:r>
      <w:r>
        <w:rPr>
          <w:rFonts w:eastAsiaTheme="minorEastAsia"/>
          <w:sz w:val="28"/>
          <w:szCs w:val="28"/>
        </w:rPr>
        <w:t>的水质状况，利用多种途径搭建群众参与和监督的交流信息平台，确保信息渠道畅通。大力宣传和推广科学用水、节约用水的理念，使群众树立正确的消费观念，培养绿色、健康的生活方式。组织开展水源地环境保护科技知识下乡活动，使周边群众了解、掌握水环境保护的科学知识，自觉、主动的保护水源。组织开展志愿者活动，充分发挥群众的主观能动性。推动</w:t>
      </w:r>
      <w:r>
        <w:rPr>
          <w:rFonts w:hint="eastAsia" w:eastAsiaTheme="minorEastAsia"/>
          <w:sz w:val="28"/>
          <w:szCs w:val="28"/>
        </w:rPr>
        <w:t>大运河宿州段</w:t>
      </w:r>
      <w:r>
        <w:rPr>
          <w:rFonts w:eastAsiaTheme="minorEastAsia"/>
          <w:sz w:val="28"/>
          <w:szCs w:val="28"/>
        </w:rPr>
        <w:t>水源保护工作转变为大家参与、共同监督、合力开展的全民行动。</w:t>
      </w:r>
    </w:p>
    <w:p>
      <w:pPr>
        <w:pStyle w:val="4"/>
        <w:spacing w:before="312" w:after="312"/>
        <w:rPr>
          <w:rFonts w:eastAsiaTheme="minorEastAsia"/>
        </w:rPr>
      </w:pPr>
      <w:bookmarkStart w:id="185" w:name="_Toc426893731"/>
      <w:bookmarkStart w:id="186" w:name="_Toc340677955"/>
      <w:bookmarkStart w:id="187" w:name="_Toc84536557"/>
      <w:bookmarkStart w:id="188" w:name="_Toc419042416"/>
      <w:bookmarkStart w:id="189" w:name="_Toc410030095"/>
      <w:bookmarkStart w:id="190" w:name="_Toc446947149"/>
      <w:bookmarkStart w:id="191" w:name="_Toc337046880"/>
      <w:bookmarkStart w:id="192" w:name="_Toc424768086"/>
      <w:bookmarkStart w:id="193" w:name="_Toc423441028"/>
      <w:r>
        <w:rPr>
          <w:rFonts w:hint="eastAsia" w:eastAsiaTheme="minorEastAsia"/>
        </w:rPr>
        <w:t>5</w:t>
      </w:r>
      <w:r>
        <w:rPr>
          <w:rFonts w:eastAsiaTheme="minorEastAsia"/>
        </w:rPr>
        <w:t>.5 强化节水型社会建设</w:t>
      </w:r>
      <w:bookmarkEnd w:id="185"/>
      <w:bookmarkEnd w:id="186"/>
      <w:bookmarkEnd w:id="187"/>
      <w:bookmarkEnd w:id="188"/>
      <w:bookmarkEnd w:id="189"/>
      <w:bookmarkEnd w:id="190"/>
      <w:bookmarkEnd w:id="191"/>
      <w:bookmarkEnd w:id="192"/>
      <w:bookmarkEnd w:id="193"/>
    </w:p>
    <w:p>
      <w:pPr>
        <w:spacing w:line="360" w:lineRule="auto"/>
        <w:ind w:firstLine="560" w:firstLineChars="200"/>
        <w:rPr>
          <w:rFonts w:eastAsiaTheme="minorEastAsia"/>
          <w:sz w:val="28"/>
          <w:szCs w:val="28"/>
        </w:rPr>
      </w:pPr>
      <w:r>
        <w:rPr>
          <w:rFonts w:hint="eastAsia" w:eastAsiaTheme="minorEastAsia"/>
          <w:sz w:val="28"/>
          <w:szCs w:val="28"/>
        </w:rPr>
        <w:t>（1）</w:t>
      </w:r>
      <w:r>
        <w:rPr>
          <w:rFonts w:eastAsiaTheme="minorEastAsia"/>
          <w:sz w:val="28"/>
          <w:szCs w:val="28"/>
        </w:rPr>
        <w:t>结合区域社会经济发展规划，由政府主导、组织相关部门制订本地区节水型社会建设规划和实施方案，推进节水型社会建设。在编制区域经济社会发展规划时要充分考虑水资源和水环境条件，根据水资源和水环境承载能力确定区域经济发展战略，逐步调整经济结构和产业布局，使经济发展与区域水资源和水环境承载能力相协调。</w:t>
      </w:r>
    </w:p>
    <w:p>
      <w:pPr>
        <w:spacing w:line="360" w:lineRule="auto"/>
        <w:ind w:firstLine="560" w:firstLineChars="200"/>
        <w:rPr>
          <w:rFonts w:eastAsiaTheme="minorEastAsia"/>
          <w:sz w:val="28"/>
          <w:szCs w:val="28"/>
        </w:rPr>
      </w:pPr>
      <w:r>
        <w:rPr>
          <w:rFonts w:hint="eastAsia" w:eastAsiaTheme="minorEastAsia"/>
          <w:sz w:val="28"/>
          <w:szCs w:val="28"/>
        </w:rPr>
        <w:t>（2）</w:t>
      </w:r>
      <w:r>
        <w:rPr>
          <w:rFonts w:eastAsiaTheme="minorEastAsia"/>
          <w:sz w:val="28"/>
          <w:szCs w:val="28"/>
        </w:rPr>
        <w:t>通过多种形式让公众了解水资源状况、政策制定和实施情况。畅通公众参与管理的渠道，水量分配、水价制订必须通过召开听证会或向社会公开征求意见等多种形式保证用水户充分表达意见、民主参与决策。在农村要积极培育和发展用水者协会，充分发挥其民主决策、民主管理、民主监督的作用。</w:t>
      </w:r>
    </w:p>
    <w:p>
      <w:pPr>
        <w:spacing w:line="360" w:lineRule="auto"/>
        <w:ind w:firstLine="560" w:firstLineChars="200"/>
        <w:rPr>
          <w:rFonts w:eastAsiaTheme="minorEastAsia"/>
          <w:sz w:val="28"/>
          <w:szCs w:val="28"/>
        </w:rPr>
      </w:pPr>
      <w:r>
        <w:rPr>
          <w:rFonts w:hint="eastAsia" w:eastAsiaTheme="minorEastAsia"/>
          <w:sz w:val="28"/>
          <w:szCs w:val="28"/>
        </w:rPr>
        <w:t>（3）</w:t>
      </w:r>
      <w:r>
        <w:rPr>
          <w:rFonts w:eastAsiaTheme="minorEastAsia"/>
          <w:sz w:val="28"/>
          <w:szCs w:val="28"/>
        </w:rPr>
        <w:t>加强节约用水宣传力度。各级各类机关、企事业单位要认真开展节约用水宣传和教育。通过邀请公众代表参与</w:t>
      </w:r>
      <w:r>
        <w:rPr>
          <w:rFonts w:hint="eastAsia" w:eastAsiaTheme="minorEastAsia"/>
          <w:sz w:val="28"/>
          <w:szCs w:val="28"/>
        </w:rPr>
        <w:t>大运河</w:t>
      </w:r>
      <w:r>
        <w:rPr>
          <w:rFonts w:eastAsiaTheme="minorEastAsia"/>
          <w:sz w:val="28"/>
          <w:szCs w:val="28"/>
        </w:rPr>
        <w:t>水污染防治技术的讨论及相关管理事务，制定严格的环境影响评价公众参与制度，使公众从被动到主动，直接参与到</w:t>
      </w:r>
      <w:r>
        <w:rPr>
          <w:rFonts w:hint="eastAsia" w:eastAsiaTheme="minorEastAsia"/>
          <w:sz w:val="28"/>
          <w:szCs w:val="28"/>
        </w:rPr>
        <w:t>大运河</w:t>
      </w:r>
      <w:r>
        <w:rPr>
          <w:rFonts w:eastAsiaTheme="minorEastAsia"/>
          <w:sz w:val="28"/>
          <w:szCs w:val="28"/>
        </w:rPr>
        <w:t>的环境保护工作中，提高公众参与的积极性。广泛利用广播、电视、报刊、杂志、互联网、标语以及培训教学等多种形式深入、持久地开展宣传，使全体公民树立起水忧患意识和节水意识。</w:t>
      </w:r>
    </w:p>
    <w:p>
      <w:pPr>
        <w:spacing w:line="360" w:lineRule="auto"/>
        <w:ind w:firstLine="560" w:firstLineChars="200"/>
        <w:rPr>
          <w:rFonts w:eastAsiaTheme="minorEastAsia"/>
          <w:sz w:val="28"/>
          <w:szCs w:val="28"/>
        </w:rPr>
      </w:pPr>
      <w:r>
        <w:rPr>
          <w:rFonts w:hint="eastAsia" w:eastAsiaTheme="minorEastAsia"/>
          <w:sz w:val="28"/>
          <w:szCs w:val="28"/>
        </w:rPr>
        <w:t>（4）</w:t>
      </w:r>
      <w:r>
        <w:rPr>
          <w:rFonts w:eastAsiaTheme="minorEastAsia"/>
          <w:sz w:val="28"/>
          <w:szCs w:val="28"/>
        </w:rPr>
        <w:t>严格控制耗水量大的企业规模，激励节水型和耗水量少的企业发展；鼓励企业采用先进节水技术，降低耗水量；推行中水回用，提倡循环经济。</w:t>
      </w:r>
    </w:p>
    <w:p>
      <w:pPr>
        <w:pStyle w:val="2"/>
        <w:spacing w:after="0" w:line="360" w:lineRule="auto"/>
        <w:ind w:left="0" w:leftChars="0" w:firstLine="560" w:firstLineChars="200"/>
        <w:rPr>
          <w:rFonts w:eastAsiaTheme="minorEastAsia"/>
          <w:sz w:val="28"/>
          <w:szCs w:val="28"/>
        </w:rPr>
      </w:pPr>
      <w:r>
        <w:rPr>
          <w:rFonts w:hint="eastAsia" w:eastAsiaTheme="minorEastAsia"/>
          <w:sz w:val="28"/>
          <w:szCs w:val="28"/>
        </w:rPr>
        <w:t>（5）</w:t>
      </w:r>
      <w:r>
        <w:rPr>
          <w:rFonts w:eastAsiaTheme="minorEastAsia"/>
          <w:sz w:val="28"/>
          <w:szCs w:val="28"/>
        </w:rPr>
        <w:t>建立健全节水考核和激励机制。建立节水型社会的评价考核体系，制订和完善节水型灌区、节水型企业、节水型社区的考核标准。</w:t>
      </w:r>
    </w:p>
    <w:p>
      <w:pPr>
        <w:widowControl/>
        <w:jc w:val="left"/>
        <w:rPr>
          <w:b/>
          <w:bCs/>
          <w:kern w:val="44"/>
          <w:sz w:val="32"/>
          <w:szCs w:val="44"/>
        </w:rPr>
      </w:pPr>
      <w:r>
        <w:br w:type="page"/>
      </w:r>
    </w:p>
    <w:p>
      <w:pPr>
        <w:pStyle w:val="3"/>
        <w:spacing w:before="374" w:beforeLines="120" w:after="374" w:afterLines="120"/>
      </w:pPr>
      <w:bookmarkStart w:id="194" w:name="_Toc84536558"/>
      <w:r>
        <w:rPr>
          <w:rFonts w:hint="eastAsia"/>
        </w:rPr>
        <w:t>6 投资估算与资金筹措</w:t>
      </w:r>
      <w:bookmarkEnd w:id="194"/>
    </w:p>
    <w:p>
      <w:pPr>
        <w:pStyle w:val="4"/>
        <w:spacing w:before="312" w:after="312"/>
        <w:rPr>
          <w:rFonts w:eastAsiaTheme="minorEastAsia"/>
        </w:rPr>
      </w:pPr>
      <w:bookmarkStart w:id="195" w:name="_Toc84536559"/>
      <w:r>
        <w:rPr>
          <w:rFonts w:hint="eastAsia" w:eastAsiaTheme="minorEastAsia"/>
        </w:rPr>
        <w:t>6</w:t>
      </w:r>
      <w:r>
        <w:rPr>
          <w:rFonts w:hint="eastAsia"/>
        </w:rPr>
        <w:t xml:space="preserve">.1 </w:t>
      </w:r>
      <w:r>
        <w:rPr>
          <w:rFonts w:hint="eastAsia" w:asciiTheme="minorEastAsia" w:hAnsiTheme="minorEastAsia" w:eastAsiaTheme="minorEastAsia"/>
        </w:rPr>
        <w:t>投资估算</w:t>
      </w:r>
      <w:bookmarkEnd w:id="195"/>
    </w:p>
    <w:p>
      <w:pPr>
        <w:spacing w:line="360" w:lineRule="auto"/>
        <w:ind w:firstLine="560" w:firstLineChars="200"/>
        <w:rPr>
          <w:bCs/>
          <w:sz w:val="28"/>
          <w:szCs w:val="28"/>
        </w:rPr>
      </w:pPr>
      <w:r>
        <w:rPr>
          <w:rFonts w:hint="eastAsia"/>
          <w:bCs/>
          <w:sz w:val="28"/>
          <w:szCs w:val="28"/>
        </w:rPr>
        <w:t>大运河宿州段生态环境保护修复实施方案投资估算见表6-1。</w:t>
      </w:r>
    </w:p>
    <w:p>
      <w:pPr>
        <w:spacing w:line="360" w:lineRule="auto"/>
        <w:jc w:val="center"/>
        <w:rPr>
          <w:b/>
          <w:bCs/>
          <w:sz w:val="24"/>
        </w:rPr>
      </w:pPr>
      <w:r>
        <w:rPr>
          <w:rFonts w:hint="eastAsia"/>
          <w:b/>
          <w:bCs/>
          <w:sz w:val="24"/>
        </w:rPr>
        <w:t>表6-1  投资估算表</w:t>
      </w:r>
    </w:p>
    <w:tbl>
      <w:tblPr>
        <w:tblStyle w:val="28"/>
        <w:tblW w:w="8381" w:type="dxa"/>
        <w:jc w:val="center"/>
        <w:tblInd w:w="0" w:type="dxa"/>
        <w:tblLayout w:type="fixed"/>
        <w:tblCellMar>
          <w:top w:w="0" w:type="dxa"/>
          <w:left w:w="108" w:type="dxa"/>
          <w:bottom w:w="0" w:type="dxa"/>
          <w:right w:w="108" w:type="dxa"/>
        </w:tblCellMar>
      </w:tblPr>
      <w:tblGrid>
        <w:gridCol w:w="699"/>
        <w:gridCol w:w="2384"/>
        <w:gridCol w:w="3248"/>
        <w:gridCol w:w="1235"/>
        <w:gridCol w:w="815"/>
      </w:tblGrid>
      <w:tr>
        <w:tblPrEx>
          <w:tblLayout w:type="fixed"/>
          <w:tblCellMar>
            <w:top w:w="0" w:type="dxa"/>
            <w:left w:w="108" w:type="dxa"/>
            <w:bottom w:w="0" w:type="dxa"/>
            <w:right w:w="108" w:type="dxa"/>
          </w:tblCellMar>
        </w:tblPrEx>
        <w:trPr>
          <w:trHeight w:val="940" w:hRule="atLeast"/>
          <w:tblHeader/>
          <w:jc w:val="center"/>
        </w:trPr>
        <w:tc>
          <w:tcPr>
            <w:tcW w:w="699"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b/>
                <w:bCs/>
                <w:color w:val="000000"/>
                <w:kern w:val="0"/>
                <w:sz w:val="24"/>
              </w:rPr>
            </w:pPr>
            <w:r>
              <w:rPr>
                <w:b/>
                <w:bCs/>
                <w:color w:val="000000"/>
                <w:kern w:val="0"/>
                <w:sz w:val="24"/>
              </w:rPr>
              <w:t>序号</w:t>
            </w:r>
          </w:p>
        </w:tc>
        <w:tc>
          <w:tcPr>
            <w:tcW w:w="2384"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bCs/>
                <w:color w:val="000000"/>
                <w:kern w:val="0"/>
                <w:sz w:val="24"/>
              </w:rPr>
            </w:pPr>
            <w:r>
              <w:rPr>
                <w:b/>
                <w:bCs/>
                <w:color w:val="000000"/>
                <w:kern w:val="0"/>
                <w:sz w:val="24"/>
              </w:rPr>
              <w:t>项目名称</w:t>
            </w:r>
          </w:p>
        </w:tc>
        <w:tc>
          <w:tcPr>
            <w:tcW w:w="3248" w:type="dxa"/>
            <w:tcBorders>
              <w:top w:val="single" w:color="auto" w:sz="4" w:space="0"/>
              <w:left w:val="nil"/>
              <w:bottom w:val="single" w:color="auto" w:sz="4" w:space="0"/>
              <w:right w:val="single" w:color="auto" w:sz="4" w:space="0"/>
            </w:tcBorders>
            <w:shd w:val="clear" w:color="auto" w:fill="auto"/>
            <w:vAlign w:val="center"/>
          </w:tcPr>
          <w:p>
            <w:pPr>
              <w:widowControl/>
              <w:jc w:val="center"/>
              <w:rPr>
                <w:b/>
                <w:bCs/>
                <w:color w:val="000000"/>
                <w:kern w:val="0"/>
                <w:sz w:val="24"/>
              </w:rPr>
            </w:pPr>
            <w:r>
              <w:rPr>
                <w:b/>
                <w:bCs/>
                <w:color w:val="000000"/>
                <w:kern w:val="0"/>
                <w:sz w:val="24"/>
              </w:rPr>
              <w:t>项目概况</w:t>
            </w:r>
          </w:p>
        </w:tc>
        <w:tc>
          <w:tcPr>
            <w:tcW w:w="1235" w:type="dxa"/>
            <w:tcBorders>
              <w:top w:val="single" w:color="auto" w:sz="4" w:space="0"/>
              <w:left w:val="nil"/>
              <w:bottom w:val="single" w:color="auto" w:sz="4" w:space="0"/>
              <w:right w:val="single" w:color="auto" w:sz="4" w:space="0"/>
            </w:tcBorders>
            <w:shd w:val="clear" w:color="auto" w:fill="auto"/>
            <w:vAlign w:val="center"/>
          </w:tcPr>
          <w:p>
            <w:pPr>
              <w:widowControl/>
              <w:jc w:val="center"/>
              <w:rPr>
                <w:b/>
                <w:bCs/>
                <w:color w:val="000000"/>
                <w:kern w:val="0"/>
                <w:sz w:val="24"/>
              </w:rPr>
            </w:pPr>
            <w:r>
              <w:rPr>
                <w:rFonts w:hint="eastAsia"/>
                <w:b/>
                <w:bCs/>
                <w:color w:val="000000"/>
                <w:kern w:val="0"/>
                <w:sz w:val="24"/>
              </w:rPr>
              <w:t>投资金额</w:t>
            </w:r>
          </w:p>
          <w:p>
            <w:pPr>
              <w:widowControl/>
              <w:jc w:val="center"/>
              <w:rPr>
                <w:b/>
                <w:bCs/>
                <w:color w:val="000000"/>
                <w:kern w:val="0"/>
                <w:sz w:val="24"/>
              </w:rPr>
            </w:pPr>
            <w:r>
              <w:rPr>
                <w:rFonts w:hint="eastAsia"/>
                <w:b/>
                <w:bCs/>
                <w:color w:val="000000"/>
                <w:kern w:val="0"/>
                <w:sz w:val="24"/>
              </w:rPr>
              <w:t>（万元）</w:t>
            </w:r>
          </w:p>
        </w:tc>
        <w:tc>
          <w:tcPr>
            <w:tcW w:w="815" w:type="dxa"/>
            <w:tcBorders>
              <w:top w:val="single" w:color="auto" w:sz="4" w:space="0"/>
              <w:left w:val="nil"/>
              <w:bottom w:val="single" w:color="auto" w:sz="4" w:space="0"/>
              <w:right w:val="single" w:color="auto" w:sz="4" w:space="0"/>
            </w:tcBorders>
            <w:shd w:val="clear" w:color="auto" w:fill="auto"/>
            <w:noWrap/>
            <w:vAlign w:val="center"/>
          </w:tcPr>
          <w:p>
            <w:pPr>
              <w:widowControl/>
              <w:jc w:val="center"/>
              <w:rPr>
                <w:b/>
                <w:bCs/>
                <w:color w:val="000000"/>
                <w:kern w:val="0"/>
                <w:sz w:val="24"/>
              </w:rPr>
            </w:pPr>
            <w:r>
              <w:rPr>
                <w:b/>
                <w:bCs/>
                <w:color w:val="000000"/>
                <w:kern w:val="0"/>
                <w:sz w:val="24"/>
              </w:rPr>
              <w:t>完成</w:t>
            </w:r>
          </w:p>
          <w:p>
            <w:pPr>
              <w:widowControl/>
              <w:jc w:val="center"/>
              <w:rPr>
                <w:b/>
                <w:bCs/>
                <w:color w:val="000000"/>
                <w:kern w:val="0"/>
                <w:sz w:val="24"/>
              </w:rPr>
            </w:pPr>
            <w:r>
              <w:rPr>
                <w:b/>
                <w:bCs/>
                <w:color w:val="000000"/>
                <w:kern w:val="0"/>
                <w:sz w:val="24"/>
              </w:rPr>
              <w:t>期限</w:t>
            </w:r>
          </w:p>
        </w:tc>
      </w:tr>
      <w:tr>
        <w:tblPrEx>
          <w:tblLayout w:type="fixed"/>
          <w:tblCellMar>
            <w:top w:w="0" w:type="dxa"/>
            <w:left w:w="108" w:type="dxa"/>
            <w:bottom w:w="0" w:type="dxa"/>
            <w:right w:w="108" w:type="dxa"/>
          </w:tblCellMar>
        </w:tblPrEx>
        <w:trPr>
          <w:trHeight w:val="1132" w:hRule="atLeast"/>
          <w:jc w:val="center"/>
        </w:trPr>
        <w:tc>
          <w:tcPr>
            <w:tcW w:w="69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color w:val="000000"/>
                <w:kern w:val="0"/>
                <w:sz w:val="24"/>
              </w:rPr>
              <w:t>1</w:t>
            </w:r>
          </w:p>
        </w:tc>
        <w:tc>
          <w:tcPr>
            <w:tcW w:w="2384"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滨河防护林生态屏障建设工程</w:t>
            </w:r>
          </w:p>
        </w:tc>
        <w:tc>
          <w:tcPr>
            <w:tcW w:w="3248" w:type="dxa"/>
            <w:tcBorders>
              <w:top w:val="nil"/>
              <w:left w:val="nil"/>
              <w:bottom w:val="single" w:color="auto" w:sz="4" w:space="0"/>
              <w:right w:val="single" w:color="auto" w:sz="4" w:space="0"/>
            </w:tcBorders>
            <w:shd w:val="clear" w:color="auto" w:fill="auto"/>
            <w:vAlign w:val="center"/>
          </w:tcPr>
          <w:p>
            <w:pPr>
              <w:widowControl/>
              <w:jc w:val="left"/>
              <w:rPr>
                <w:color w:val="000000"/>
                <w:kern w:val="0"/>
                <w:sz w:val="24"/>
              </w:rPr>
            </w:pPr>
            <w:r>
              <w:rPr>
                <w:rFonts w:hint="eastAsia"/>
                <w:color w:val="000000"/>
                <w:kern w:val="0"/>
                <w:sz w:val="24"/>
              </w:rPr>
              <w:t>对沿河两岸分别进行绿化规整以及裸土覆盖乔木类以无絮杨、刺槐、榆树</w:t>
            </w:r>
            <w:r>
              <w:rPr>
                <w:color w:val="000000"/>
                <w:kern w:val="0"/>
                <w:sz w:val="24"/>
              </w:rPr>
              <w:t>等</w:t>
            </w:r>
            <w:r>
              <w:rPr>
                <w:rFonts w:hint="eastAsia"/>
                <w:color w:val="000000"/>
                <w:kern w:val="0"/>
                <w:sz w:val="24"/>
              </w:rPr>
              <w:t>；灌木类以红叶李、樱花、枇杷等；并配套栽种麦冬草。</w:t>
            </w:r>
          </w:p>
        </w:tc>
        <w:tc>
          <w:tcPr>
            <w:tcW w:w="1235" w:type="dxa"/>
            <w:tcBorders>
              <w:top w:val="nil"/>
              <w:left w:val="nil"/>
              <w:bottom w:val="single" w:color="auto" w:sz="4" w:space="0"/>
              <w:right w:val="single" w:color="auto" w:sz="4" w:space="0"/>
            </w:tcBorders>
            <w:shd w:val="clear" w:color="auto" w:fill="auto"/>
            <w:vAlign w:val="center"/>
          </w:tcPr>
          <w:p>
            <w:pPr>
              <w:widowControl/>
              <w:jc w:val="center"/>
              <w:rPr>
                <w:rFonts w:eastAsia="等线"/>
                <w:color w:val="000000"/>
                <w:kern w:val="0"/>
                <w:sz w:val="24"/>
              </w:rPr>
            </w:pPr>
            <w:r>
              <w:rPr>
                <w:rFonts w:hint="eastAsia" w:eastAsia="等线"/>
                <w:color w:val="000000"/>
                <w:kern w:val="0"/>
                <w:sz w:val="24"/>
              </w:rPr>
              <w:t>400</w:t>
            </w:r>
          </w:p>
        </w:tc>
        <w:tc>
          <w:tcPr>
            <w:tcW w:w="815"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2025</w:t>
            </w:r>
          </w:p>
        </w:tc>
      </w:tr>
      <w:tr>
        <w:tblPrEx>
          <w:tblLayout w:type="fixed"/>
          <w:tblCellMar>
            <w:top w:w="0" w:type="dxa"/>
            <w:left w:w="108" w:type="dxa"/>
            <w:bottom w:w="0" w:type="dxa"/>
            <w:right w:w="108" w:type="dxa"/>
          </w:tblCellMar>
        </w:tblPrEx>
        <w:trPr>
          <w:trHeight w:val="820" w:hRule="atLeast"/>
          <w:jc w:val="center"/>
        </w:trPr>
        <w:tc>
          <w:tcPr>
            <w:tcW w:w="69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color w:val="000000"/>
                <w:kern w:val="0"/>
                <w:sz w:val="24"/>
              </w:rPr>
              <w:t>2</w:t>
            </w:r>
          </w:p>
        </w:tc>
        <w:tc>
          <w:tcPr>
            <w:tcW w:w="2384" w:type="dxa"/>
            <w:tcBorders>
              <w:top w:val="nil"/>
              <w:left w:val="nil"/>
              <w:bottom w:val="nil"/>
              <w:right w:val="nil"/>
            </w:tcBorders>
            <w:shd w:val="clear" w:color="auto" w:fill="auto"/>
            <w:noWrap/>
            <w:vAlign w:val="center"/>
          </w:tcPr>
          <w:p>
            <w:pPr>
              <w:widowControl/>
              <w:spacing w:line="400" w:lineRule="exact"/>
              <w:jc w:val="center"/>
              <w:textAlignment w:val="center"/>
              <w:rPr>
                <w:color w:val="000000"/>
                <w:kern w:val="0"/>
                <w:sz w:val="24"/>
              </w:rPr>
            </w:pPr>
            <w:r>
              <w:rPr>
                <w:color w:val="000000"/>
                <w:kern w:val="0"/>
                <w:sz w:val="24"/>
              </w:rPr>
              <w:t>泗县运河中央公园</w:t>
            </w:r>
          </w:p>
        </w:tc>
        <w:tc>
          <w:tcPr>
            <w:tcW w:w="3248" w:type="dxa"/>
            <w:tcBorders>
              <w:top w:val="nil"/>
              <w:left w:val="single" w:color="auto" w:sz="4" w:space="0"/>
              <w:bottom w:val="single" w:color="auto" w:sz="4" w:space="0"/>
              <w:right w:val="single" w:color="auto" w:sz="4" w:space="0"/>
            </w:tcBorders>
            <w:shd w:val="clear" w:color="auto" w:fill="auto"/>
            <w:vAlign w:val="center"/>
          </w:tcPr>
          <w:p>
            <w:pPr>
              <w:widowControl/>
              <w:spacing w:line="400" w:lineRule="exact"/>
              <w:textAlignment w:val="center"/>
              <w:rPr>
                <w:color w:val="000000"/>
                <w:kern w:val="0"/>
                <w:sz w:val="24"/>
              </w:rPr>
            </w:pPr>
            <w:r>
              <w:rPr>
                <w:color w:val="000000"/>
                <w:kern w:val="0"/>
                <w:sz w:val="24"/>
              </w:rPr>
              <w:t>依托古运河，建设综合性公园</w:t>
            </w:r>
          </w:p>
        </w:tc>
        <w:tc>
          <w:tcPr>
            <w:tcW w:w="1235" w:type="dxa"/>
            <w:tcBorders>
              <w:top w:val="nil"/>
              <w:left w:val="nil"/>
              <w:bottom w:val="single" w:color="auto" w:sz="4" w:space="0"/>
              <w:right w:val="single" w:color="auto" w:sz="4" w:space="0"/>
            </w:tcBorders>
            <w:shd w:val="clear" w:color="auto" w:fill="auto"/>
            <w:vAlign w:val="center"/>
          </w:tcPr>
          <w:p>
            <w:pPr>
              <w:widowControl/>
              <w:jc w:val="center"/>
              <w:rPr>
                <w:rFonts w:eastAsia="等线"/>
                <w:color w:val="000000"/>
                <w:kern w:val="0"/>
                <w:sz w:val="24"/>
              </w:rPr>
            </w:pPr>
            <w:r>
              <w:rPr>
                <w:rFonts w:hint="eastAsia" w:eastAsia="等线"/>
                <w:color w:val="000000"/>
                <w:kern w:val="0"/>
                <w:sz w:val="24"/>
              </w:rPr>
              <w:t>30000</w:t>
            </w:r>
          </w:p>
        </w:tc>
        <w:tc>
          <w:tcPr>
            <w:tcW w:w="815"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2022</w:t>
            </w:r>
          </w:p>
        </w:tc>
      </w:tr>
      <w:tr>
        <w:tblPrEx>
          <w:tblLayout w:type="fixed"/>
          <w:tblCellMar>
            <w:top w:w="0" w:type="dxa"/>
            <w:left w:w="108" w:type="dxa"/>
            <w:bottom w:w="0" w:type="dxa"/>
            <w:right w:w="108" w:type="dxa"/>
          </w:tblCellMar>
        </w:tblPrEx>
        <w:trPr>
          <w:trHeight w:val="1129" w:hRule="atLeast"/>
          <w:jc w:val="center"/>
        </w:trPr>
        <w:tc>
          <w:tcPr>
            <w:tcW w:w="69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color w:val="000000"/>
                <w:kern w:val="0"/>
                <w:sz w:val="24"/>
              </w:rPr>
              <w:t>3</w:t>
            </w:r>
          </w:p>
        </w:tc>
        <w:tc>
          <w:tcPr>
            <w:tcW w:w="2384" w:type="dxa"/>
            <w:tcBorders>
              <w:top w:val="single" w:color="auto" w:sz="4" w:space="0"/>
              <w:left w:val="nil"/>
              <w:bottom w:val="single" w:color="auto" w:sz="4" w:space="0"/>
              <w:right w:val="single" w:color="auto" w:sz="4" w:space="0"/>
            </w:tcBorders>
            <w:shd w:val="clear" w:color="auto" w:fill="auto"/>
            <w:vAlign w:val="center"/>
          </w:tcPr>
          <w:p>
            <w:pPr>
              <w:widowControl/>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泗县运河城市森林公园</w:t>
            </w:r>
          </w:p>
        </w:tc>
        <w:tc>
          <w:tcPr>
            <w:tcW w:w="3248" w:type="dxa"/>
            <w:tcBorders>
              <w:top w:val="nil"/>
              <w:left w:val="nil"/>
              <w:bottom w:val="single" w:color="auto" w:sz="4" w:space="0"/>
              <w:right w:val="single" w:color="auto" w:sz="4" w:space="0"/>
            </w:tcBorders>
            <w:shd w:val="clear" w:color="auto" w:fill="auto"/>
            <w:vAlign w:val="center"/>
          </w:tcPr>
          <w:p>
            <w:pPr>
              <w:widowControl/>
              <w:jc w:val="lef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绿化造林面积1700亩，并实施沟渠改造、原道路提升和配套管理用房及其他附属设施建设。</w:t>
            </w:r>
          </w:p>
        </w:tc>
        <w:tc>
          <w:tcPr>
            <w:tcW w:w="1235" w:type="dxa"/>
            <w:tcBorders>
              <w:top w:val="nil"/>
              <w:left w:val="nil"/>
              <w:bottom w:val="single" w:color="auto" w:sz="4" w:space="0"/>
              <w:right w:val="single" w:color="auto" w:sz="4" w:space="0"/>
            </w:tcBorders>
            <w:shd w:val="clear" w:color="auto" w:fill="auto"/>
            <w:vAlign w:val="center"/>
          </w:tcPr>
          <w:p>
            <w:pPr>
              <w:widowControl/>
              <w:jc w:val="center"/>
              <w:rPr>
                <w:rFonts w:eastAsia="等线"/>
                <w:color w:val="000000"/>
                <w:kern w:val="0"/>
                <w:sz w:val="24"/>
              </w:rPr>
            </w:pPr>
            <w:r>
              <w:rPr>
                <w:rFonts w:hint="eastAsia" w:eastAsia="等线"/>
                <w:color w:val="000000"/>
                <w:kern w:val="0"/>
                <w:sz w:val="24"/>
              </w:rPr>
              <w:t>10000</w:t>
            </w:r>
          </w:p>
        </w:tc>
        <w:tc>
          <w:tcPr>
            <w:tcW w:w="815" w:type="dxa"/>
            <w:tcBorders>
              <w:top w:val="nil"/>
              <w:left w:val="nil"/>
              <w:bottom w:val="single" w:color="auto" w:sz="4" w:space="0"/>
              <w:right w:val="single" w:color="auto" w:sz="4" w:space="0"/>
            </w:tcBorders>
            <w:shd w:val="clear" w:color="auto" w:fill="auto"/>
            <w:vAlign w:val="center"/>
          </w:tcPr>
          <w:p>
            <w:pPr>
              <w:widowControl/>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2022</w:t>
            </w:r>
          </w:p>
        </w:tc>
      </w:tr>
      <w:tr>
        <w:tblPrEx>
          <w:tblLayout w:type="fixed"/>
          <w:tblCellMar>
            <w:top w:w="0" w:type="dxa"/>
            <w:left w:w="108" w:type="dxa"/>
            <w:bottom w:w="0" w:type="dxa"/>
            <w:right w:w="108" w:type="dxa"/>
          </w:tblCellMar>
        </w:tblPrEx>
        <w:trPr>
          <w:trHeight w:val="862" w:hRule="atLeast"/>
          <w:jc w:val="center"/>
        </w:trPr>
        <w:tc>
          <w:tcPr>
            <w:tcW w:w="69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color w:val="000000"/>
                <w:kern w:val="0"/>
                <w:sz w:val="24"/>
              </w:rPr>
              <w:t>4</w:t>
            </w:r>
          </w:p>
        </w:tc>
        <w:tc>
          <w:tcPr>
            <w:tcW w:w="2384" w:type="dxa"/>
            <w:tcBorders>
              <w:top w:val="nil"/>
              <w:left w:val="nil"/>
              <w:bottom w:val="single" w:color="auto" w:sz="4" w:space="0"/>
              <w:right w:val="single" w:color="auto" w:sz="4" w:space="0"/>
            </w:tcBorders>
            <w:shd w:val="clear" w:color="auto" w:fill="auto"/>
            <w:vAlign w:val="center"/>
          </w:tcPr>
          <w:p>
            <w:pPr>
              <w:widowControl/>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泗县大运河遗址公园</w:t>
            </w:r>
          </w:p>
        </w:tc>
        <w:tc>
          <w:tcPr>
            <w:tcW w:w="3248" w:type="dxa"/>
            <w:tcBorders>
              <w:top w:val="nil"/>
              <w:left w:val="nil"/>
              <w:bottom w:val="single" w:color="auto" w:sz="4" w:space="0"/>
              <w:right w:val="single" w:color="auto" w:sz="4" w:space="0"/>
            </w:tcBorders>
            <w:shd w:val="clear" w:color="auto" w:fill="auto"/>
            <w:vAlign w:val="center"/>
          </w:tcPr>
          <w:p>
            <w:pPr>
              <w:widowControl/>
              <w:jc w:val="lef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围绕大运河泗县遗址文化，加强环境整治和绿化美化，运河文化带保护传承利用与修复，规划建设大运河遗址公园。</w:t>
            </w:r>
          </w:p>
        </w:tc>
        <w:tc>
          <w:tcPr>
            <w:tcW w:w="1235" w:type="dxa"/>
            <w:tcBorders>
              <w:top w:val="nil"/>
              <w:left w:val="nil"/>
              <w:bottom w:val="single" w:color="auto" w:sz="4" w:space="0"/>
              <w:right w:val="single" w:color="auto" w:sz="4" w:space="0"/>
            </w:tcBorders>
            <w:shd w:val="clear" w:color="auto" w:fill="auto"/>
            <w:vAlign w:val="center"/>
          </w:tcPr>
          <w:p>
            <w:pPr>
              <w:widowControl/>
              <w:jc w:val="center"/>
              <w:rPr>
                <w:rFonts w:eastAsia="等线"/>
                <w:color w:val="000000"/>
                <w:kern w:val="0"/>
                <w:sz w:val="24"/>
              </w:rPr>
            </w:pPr>
            <w:r>
              <w:rPr>
                <w:rFonts w:hint="eastAsia" w:eastAsia="等线"/>
                <w:color w:val="000000"/>
                <w:kern w:val="0"/>
                <w:sz w:val="24"/>
              </w:rPr>
              <w:t>85000</w:t>
            </w:r>
          </w:p>
        </w:tc>
        <w:tc>
          <w:tcPr>
            <w:tcW w:w="815" w:type="dxa"/>
            <w:tcBorders>
              <w:top w:val="nil"/>
              <w:left w:val="nil"/>
              <w:bottom w:val="single" w:color="auto" w:sz="4" w:space="0"/>
              <w:right w:val="single" w:color="auto" w:sz="4" w:space="0"/>
            </w:tcBorders>
            <w:shd w:val="clear" w:color="auto" w:fill="auto"/>
            <w:vAlign w:val="center"/>
          </w:tcPr>
          <w:p>
            <w:pPr>
              <w:widowControl/>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2022</w:t>
            </w:r>
          </w:p>
        </w:tc>
      </w:tr>
      <w:tr>
        <w:tblPrEx>
          <w:tblLayout w:type="fixed"/>
          <w:tblCellMar>
            <w:top w:w="0" w:type="dxa"/>
            <w:left w:w="108" w:type="dxa"/>
            <w:bottom w:w="0" w:type="dxa"/>
            <w:right w:w="108" w:type="dxa"/>
          </w:tblCellMar>
        </w:tblPrEx>
        <w:trPr>
          <w:trHeight w:val="862" w:hRule="atLeast"/>
          <w:jc w:val="center"/>
        </w:trPr>
        <w:tc>
          <w:tcPr>
            <w:tcW w:w="699" w:type="dxa"/>
            <w:tcBorders>
              <w:top w:val="nil"/>
              <w:left w:val="single" w:color="auto" w:sz="4" w:space="0"/>
              <w:bottom w:val="single" w:color="auto" w:sz="4" w:space="0"/>
              <w:right w:val="single" w:color="auto" w:sz="4" w:space="0"/>
            </w:tcBorders>
            <w:shd w:val="clear" w:color="auto" w:fill="auto"/>
            <w:noWrap/>
            <w:vAlign w:val="center"/>
          </w:tcPr>
          <w:p>
            <w:pPr>
              <w:widowControl/>
              <w:jc w:val="center"/>
              <w:rPr>
                <w:color w:val="000000"/>
                <w:kern w:val="0"/>
                <w:sz w:val="24"/>
              </w:rPr>
            </w:pPr>
            <w:r>
              <w:rPr>
                <w:rFonts w:hint="eastAsia"/>
                <w:color w:val="000000"/>
                <w:kern w:val="0"/>
                <w:sz w:val="24"/>
              </w:rPr>
              <w:t>5</w:t>
            </w:r>
          </w:p>
        </w:tc>
        <w:tc>
          <w:tcPr>
            <w:tcW w:w="2384" w:type="dxa"/>
            <w:tcBorders>
              <w:top w:val="nil"/>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宿州市朱仙庄采煤沉陷区综合治理工程</w:t>
            </w:r>
          </w:p>
        </w:tc>
        <w:tc>
          <w:tcPr>
            <w:tcW w:w="3248" w:type="dxa"/>
            <w:tcBorders>
              <w:top w:val="nil"/>
              <w:left w:val="nil"/>
              <w:bottom w:val="single" w:color="auto" w:sz="4" w:space="0"/>
              <w:right w:val="single" w:color="auto" w:sz="4" w:space="0"/>
            </w:tcBorders>
            <w:shd w:val="clear" w:color="auto" w:fill="auto"/>
            <w:vAlign w:val="center"/>
          </w:tcPr>
          <w:p>
            <w:pPr>
              <w:widowControl/>
              <w:jc w:val="left"/>
              <w:rPr>
                <w:rFonts w:eastAsiaTheme="minorEastAsia"/>
                <w:kern w:val="0"/>
                <w:sz w:val="24"/>
              </w:rPr>
            </w:pPr>
            <w:r>
              <w:rPr>
                <w:rFonts w:hint="eastAsia" w:eastAsiaTheme="minorEastAsia"/>
                <w:kern w:val="0"/>
                <w:sz w:val="24"/>
              </w:rPr>
              <w:t>主要实施土地、水</w:t>
            </w:r>
            <w:r>
              <w:rPr>
                <w:rFonts w:eastAsiaTheme="minorEastAsia"/>
                <w:kern w:val="0"/>
                <w:sz w:val="24"/>
              </w:rPr>
              <w:t>环境治理</w:t>
            </w:r>
            <w:r>
              <w:rPr>
                <w:rFonts w:hint="eastAsia" w:eastAsiaTheme="minorEastAsia"/>
                <w:kern w:val="0"/>
                <w:sz w:val="24"/>
              </w:rPr>
              <w:t>和</w:t>
            </w:r>
            <w:r>
              <w:rPr>
                <w:rFonts w:eastAsiaTheme="minorEastAsia"/>
                <w:kern w:val="0"/>
                <w:sz w:val="24"/>
              </w:rPr>
              <w:t>资源利用工程</w:t>
            </w:r>
            <w:r>
              <w:rPr>
                <w:rFonts w:hint="eastAsia" w:eastAsiaTheme="minorEastAsia"/>
                <w:kern w:val="0"/>
                <w:sz w:val="24"/>
              </w:rPr>
              <w:t>，建设</w:t>
            </w:r>
            <w:r>
              <w:rPr>
                <w:rFonts w:eastAsiaTheme="minorEastAsia"/>
                <w:kern w:val="0"/>
                <w:sz w:val="24"/>
              </w:rPr>
              <w:t>景观工程</w:t>
            </w:r>
            <w:r>
              <w:rPr>
                <w:rFonts w:hint="eastAsia" w:eastAsiaTheme="minorEastAsia"/>
                <w:kern w:val="0"/>
                <w:sz w:val="24"/>
              </w:rPr>
              <w:t>和</w:t>
            </w:r>
            <w:r>
              <w:rPr>
                <w:rFonts w:eastAsiaTheme="minorEastAsia"/>
                <w:kern w:val="0"/>
                <w:sz w:val="24"/>
              </w:rPr>
              <w:t>公共市政基础设施。</w:t>
            </w:r>
          </w:p>
        </w:tc>
        <w:tc>
          <w:tcPr>
            <w:tcW w:w="1235" w:type="dxa"/>
            <w:tcBorders>
              <w:top w:val="nil"/>
              <w:left w:val="nil"/>
              <w:bottom w:val="single" w:color="auto" w:sz="4" w:space="0"/>
              <w:right w:val="single" w:color="auto" w:sz="4" w:space="0"/>
            </w:tcBorders>
            <w:shd w:val="clear" w:color="auto" w:fill="auto"/>
            <w:vAlign w:val="center"/>
          </w:tcPr>
          <w:p>
            <w:pPr>
              <w:widowControl/>
              <w:jc w:val="center"/>
              <w:rPr>
                <w:rFonts w:eastAsia="等线"/>
                <w:color w:val="000000"/>
                <w:kern w:val="0"/>
                <w:sz w:val="24"/>
              </w:rPr>
            </w:pPr>
            <w:r>
              <w:rPr>
                <w:rFonts w:hint="eastAsia" w:eastAsia="等线"/>
                <w:color w:val="000000"/>
                <w:kern w:val="0"/>
                <w:sz w:val="24"/>
              </w:rPr>
              <w:t>370000</w:t>
            </w:r>
          </w:p>
        </w:tc>
        <w:tc>
          <w:tcPr>
            <w:tcW w:w="815" w:type="dxa"/>
            <w:tcBorders>
              <w:top w:val="nil"/>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2022</w:t>
            </w:r>
          </w:p>
        </w:tc>
      </w:tr>
      <w:tr>
        <w:tblPrEx>
          <w:tblLayout w:type="fixed"/>
          <w:tblCellMar>
            <w:top w:w="0" w:type="dxa"/>
            <w:left w:w="108" w:type="dxa"/>
            <w:bottom w:w="0" w:type="dxa"/>
            <w:right w:w="108" w:type="dxa"/>
          </w:tblCellMar>
        </w:tblPrEx>
        <w:trPr>
          <w:trHeight w:val="1056"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6</w:t>
            </w:r>
          </w:p>
        </w:tc>
        <w:tc>
          <w:tcPr>
            <w:tcW w:w="2384"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泗县城区雨水排污口整治工程</w:t>
            </w:r>
          </w:p>
        </w:tc>
        <w:tc>
          <w:tcPr>
            <w:tcW w:w="3248" w:type="dxa"/>
            <w:tcBorders>
              <w:top w:val="nil"/>
              <w:left w:val="nil"/>
              <w:bottom w:val="single" w:color="auto" w:sz="4" w:space="0"/>
              <w:right w:val="single" w:color="auto" w:sz="4" w:space="0"/>
            </w:tcBorders>
            <w:shd w:val="clear" w:color="auto" w:fill="auto"/>
            <w:vAlign w:val="center"/>
          </w:tcPr>
          <w:p>
            <w:pPr>
              <w:widowControl/>
              <w:jc w:val="left"/>
              <w:rPr>
                <w:color w:val="000000"/>
                <w:kern w:val="0"/>
                <w:sz w:val="24"/>
              </w:rPr>
            </w:pPr>
            <w:r>
              <w:rPr>
                <w:color w:val="000000"/>
                <w:kern w:val="0"/>
                <w:sz w:val="24"/>
              </w:rPr>
              <w:t>规范沿岸污水排放，截污纳管，集中收集处置。</w:t>
            </w:r>
          </w:p>
        </w:tc>
        <w:tc>
          <w:tcPr>
            <w:tcW w:w="1235" w:type="dxa"/>
            <w:tcBorders>
              <w:top w:val="nil"/>
              <w:left w:val="nil"/>
              <w:bottom w:val="single" w:color="auto" w:sz="4" w:space="0"/>
              <w:right w:val="single" w:color="auto" w:sz="4" w:space="0"/>
            </w:tcBorders>
            <w:shd w:val="clear" w:color="auto" w:fill="auto"/>
            <w:vAlign w:val="center"/>
          </w:tcPr>
          <w:p>
            <w:pPr>
              <w:widowControl/>
              <w:jc w:val="center"/>
              <w:rPr>
                <w:rFonts w:eastAsia="等线"/>
                <w:color w:val="000000"/>
                <w:kern w:val="0"/>
                <w:sz w:val="24"/>
              </w:rPr>
            </w:pPr>
            <w:r>
              <w:rPr>
                <w:rFonts w:hint="eastAsia" w:eastAsia="等线"/>
                <w:color w:val="000000"/>
                <w:kern w:val="0"/>
                <w:sz w:val="24"/>
              </w:rPr>
              <w:t>5000</w:t>
            </w:r>
          </w:p>
        </w:tc>
        <w:tc>
          <w:tcPr>
            <w:tcW w:w="815"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202</w:t>
            </w:r>
            <w:r>
              <w:rPr>
                <w:rFonts w:hint="eastAsia"/>
                <w:color w:val="000000"/>
                <w:kern w:val="0"/>
                <w:sz w:val="24"/>
              </w:rPr>
              <w:t>4</w:t>
            </w:r>
          </w:p>
        </w:tc>
      </w:tr>
      <w:tr>
        <w:tblPrEx>
          <w:tblLayout w:type="fixed"/>
          <w:tblCellMar>
            <w:top w:w="0" w:type="dxa"/>
            <w:left w:w="108" w:type="dxa"/>
            <w:bottom w:w="0" w:type="dxa"/>
            <w:right w:w="108" w:type="dxa"/>
          </w:tblCellMar>
        </w:tblPrEx>
        <w:trPr>
          <w:trHeight w:val="1566"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7</w:t>
            </w:r>
          </w:p>
        </w:tc>
        <w:tc>
          <w:tcPr>
            <w:tcW w:w="2384"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泗县段水质保护工程</w:t>
            </w:r>
          </w:p>
        </w:tc>
        <w:tc>
          <w:tcPr>
            <w:tcW w:w="3248" w:type="dxa"/>
            <w:tcBorders>
              <w:top w:val="nil"/>
              <w:left w:val="nil"/>
              <w:bottom w:val="single" w:color="auto" w:sz="4" w:space="0"/>
              <w:right w:val="single" w:color="auto" w:sz="4" w:space="0"/>
            </w:tcBorders>
            <w:shd w:val="clear" w:color="auto" w:fill="auto"/>
            <w:vAlign w:val="center"/>
          </w:tcPr>
          <w:p>
            <w:pPr>
              <w:widowControl/>
              <w:jc w:val="left"/>
              <w:rPr>
                <w:color w:val="000000"/>
                <w:kern w:val="0"/>
                <w:sz w:val="24"/>
              </w:rPr>
            </w:pPr>
            <w:r>
              <w:rPr>
                <w:color w:val="000000"/>
                <w:kern w:val="0"/>
                <w:sz w:val="24"/>
              </w:rPr>
              <w:t>采用砖混盖板涵收集大运河故道沿线居民生活污水及初期雨水，总长40</w:t>
            </w:r>
            <w:r>
              <w:rPr>
                <w:rFonts w:hint="eastAsia"/>
                <w:color w:val="000000"/>
                <w:kern w:val="0"/>
                <w:sz w:val="24"/>
              </w:rPr>
              <w:t xml:space="preserve"> </w:t>
            </w:r>
            <w:r>
              <w:rPr>
                <w:color w:val="000000"/>
                <w:kern w:val="0"/>
                <w:sz w:val="24"/>
              </w:rPr>
              <w:t>km，建设7处小规模污水处理设施进行加工处理；对城区段两岸仍存在有直排生活污水的居民小区实施污水管道改造，纳入城镇污水管网，改造污水管长15 km。</w:t>
            </w:r>
          </w:p>
        </w:tc>
        <w:tc>
          <w:tcPr>
            <w:tcW w:w="1235" w:type="dxa"/>
            <w:tcBorders>
              <w:top w:val="nil"/>
              <w:left w:val="nil"/>
              <w:bottom w:val="single" w:color="auto" w:sz="4" w:space="0"/>
              <w:right w:val="single" w:color="auto" w:sz="4" w:space="0"/>
            </w:tcBorders>
            <w:shd w:val="clear" w:color="auto" w:fill="auto"/>
            <w:vAlign w:val="center"/>
          </w:tcPr>
          <w:p>
            <w:pPr>
              <w:widowControl/>
              <w:jc w:val="center"/>
              <w:rPr>
                <w:rFonts w:eastAsia="等线"/>
                <w:color w:val="000000"/>
                <w:kern w:val="0"/>
                <w:sz w:val="24"/>
              </w:rPr>
            </w:pPr>
            <w:r>
              <w:rPr>
                <w:rFonts w:hint="eastAsia" w:eastAsia="等线"/>
                <w:color w:val="000000"/>
                <w:kern w:val="0"/>
                <w:sz w:val="24"/>
              </w:rPr>
              <w:t>20000</w:t>
            </w:r>
          </w:p>
        </w:tc>
        <w:tc>
          <w:tcPr>
            <w:tcW w:w="815"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202</w:t>
            </w:r>
            <w:r>
              <w:rPr>
                <w:rFonts w:hint="eastAsia"/>
                <w:color w:val="000000"/>
                <w:kern w:val="0"/>
                <w:sz w:val="24"/>
              </w:rPr>
              <w:t>5</w:t>
            </w:r>
          </w:p>
        </w:tc>
      </w:tr>
      <w:tr>
        <w:tblPrEx>
          <w:tblLayout w:type="fixed"/>
          <w:tblCellMar>
            <w:top w:w="0" w:type="dxa"/>
            <w:left w:w="108" w:type="dxa"/>
            <w:bottom w:w="0" w:type="dxa"/>
            <w:right w:w="108" w:type="dxa"/>
          </w:tblCellMar>
        </w:tblPrEx>
        <w:trPr>
          <w:trHeight w:val="2159"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8</w:t>
            </w:r>
          </w:p>
        </w:tc>
        <w:tc>
          <w:tcPr>
            <w:tcW w:w="2384" w:type="dxa"/>
            <w:tcBorders>
              <w:top w:val="nil"/>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灵璧县中心城区污水管网完善及修复项目</w:t>
            </w:r>
          </w:p>
        </w:tc>
        <w:tc>
          <w:tcPr>
            <w:tcW w:w="3248" w:type="dxa"/>
            <w:tcBorders>
              <w:top w:val="nil"/>
              <w:left w:val="nil"/>
              <w:bottom w:val="single" w:color="auto" w:sz="4" w:space="0"/>
              <w:right w:val="single" w:color="auto" w:sz="4" w:space="0"/>
            </w:tcBorders>
            <w:shd w:val="clear" w:color="auto" w:fill="auto"/>
            <w:vAlign w:val="center"/>
          </w:tcPr>
          <w:p>
            <w:pPr>
              <w:widowControl/>
              <w:jc w:val="left"/>
              <w:rPr>
                <w:rFonts w:eastAsiaTheme="minorEastAsia"/>
                <w:kern w:val="0"/>
                <w:sz w:val="24"/>
              </w:rPr>
            </w:pPr>
            <w:r>
              <w:rPr>
                <w:rFonts w:hint="eastAsia" w:eastAsiaTheme="minorEastAsia"/>
                <w:kern w:val="0"/>
                <w:sz w:val="24"/>
              </w:rPr>
              <w:t>项目分为两期实施，一期涉及17条主要道路，共修复新建污水管网47930.59 m；二期涉及16条主要道路，共修复及新建管网24644.39 m。</w:t>
            </w:r>
          </w:p>
        </w:tc>
        <w:tc>
          <w:tcPr>
            <w:tcW w:w="1235" w:type="dxa"/>
            <w:tcBorders>
              <w:top w:val="nil"/>
              <w:left w:val="nil"/>
              <w:bottom w:val="single" w:color="auto" w:sz="4" w:space="0"/>
              <w:right w:val="single" w:color="auto" w:sz="4" w:space="0"/>
            </w:tcBorders>
            <w:shd w:val="clear" w:color="auto" w:fill="auto"/>
            <w:vAlign w:val="center"/>
          </w:tcPr>
          <w:p>
            <w:pPr>
              <w:widowControl/>
              <w:jc w:val="center"/>
              <w:rPr>
                <w:rFonts w:eastAsia="等线"/>
                <w:color w:val="000000"/>
                <w:kern w:val="0"/>
                <w:sz w:val="24"/>
              </w:rPr>
            </w:pPr>
            <w:r>
              <w:rPr>
                <w:rFonts w:hint="eastAsia" w:eastAsia="等线"/>
                <w:color w:val="000000"/>
                <w:kern w:val="0"/>
                <w:sz w:val="24"/>
              </w:rPr>
              <w:t>29027</w:t>
            </w:r>
          </w:p>
        </w:tc>
        <w:tc>
          <w:tcPr>
            <w:tcW w:w="815" w:type="dxa"/>
            <w:tcBorders>
              <w:top w:val="nil"/>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2025</w:t>
            </w:r>
          </w:p>
        </w:tc>
      </w:tr>
      <w:tr>
        <w:tblPrEx>
          <w:tblLayout w:type="fixed"/>
          <w:tblCellMar>
            <w:top w:w="0" w:type="dxa"/>
            <w:left w:w="108" w:type="dxa"/>
            <w:bottom w:w="0" w:type="dxa"/>
            <w:right w:w="108" w:type="dxa"/>
          </w:tblCellMar>
        </w:tblPrEx>
        <w:trPr>
          <w:trHeight w:val="1536"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9</w:t>
            </w:r>
          </w:p>
        </w:tc>
        <w:tc>
          <w:tcPr>
            <w:tcW w:w="2384"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泗县镇区污水处理扩建工程</w:t>
            </w:r>
          </w:p>
        </w:tc>
        <w:tc>
          <w:tcPr>
            <w:tcW w:w="3248" w:type="dxa"/>
            <w:tcBorders>
              <w:top w:val="nil"/>
              <w:left w:val="nil"/>
              <w:bottom w:val="single" w:color="auto" w:sz="4" w:space="0"/>
              <w:right w:val="single" w:color="auto" w:sz="4" w:space="0"/>
            </w:tcBorders>
            <w:shd w:val="clear" w:color="auto" w:fill="auto"/>
            <w:vAlign w:val="center"/>
          </w:tcPr>
          <w:p>
            <w:pPr>
              <w:widowControl/>
              <w:jc w:val="lef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计划对草庙镇、黑塔镇、屏山镇、长沟镇集中式污水处理厂进行扩建，总扩建规模达1700 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/d，配套污水管网22 km。</w:t>
            </w:r>
          </w:p>
        </w:tc>
        <w:tc>
          <w:tcPr>
            <w:tcW w:w="1235" w:type="dxa"/>
            <w:tcBorders>
              <w:top w:val="nil"/>
              <w:left w:val="nil"/>
              <w:bottom w:val="single" w:color="auto" w:sz="4" w:space="0"/>
              <w:right w:val="single" w:color="auto" w:sz="4" w:space="0"/>
            </w:tcBorders>
            <w:shd w:val="clear" w:color="auto" w:fill="auto"/>
            <w:vAlign w:val="center"/>
          </w:tcPr>
          <w:p>
            <w:pPr>
              <w:widowControl/>
              <w:jc w:val="center"/>
              <w:rPr>
                <w:rFonts w:eastAsia="等线"/>
                <w:color w:val="000000"/>
                <w:kern w:val="0"/>
                <w:sz w:val="24"/>
              </w:rPr>
            </w:pPr>
            <w:r>
              <w:rPr>
                <w:rFonts w:hint="eastAsia" w:eastAsia="等线"/>
                <w:color w:val="000000"/>
                <w:kern w:val="0"/>
                <w:sz w:val="24"/>
              </w:rPr>
              <w:t>2370</w:t>
            </w:r>
          </w:p>
        </w:tc>
        <w:tc>
          <w:tcPr>
            <w:tcW w:w="815"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20</w:t>
            </w:r>
            <w:r>
              <w:rPr>
                <w:rFonts w:hint="eastAsia"/>
                <w:color w:val="000000"/>
                <w:kern w:val="0"/>
                <w:sz w:val="24"/>
              </w:rPr>
              <w:t>23</w:t>
            </w:r>
          </w:p>
        </w:tc>
      </w:tr>
      <w:tr>
        <w:tblPrEx>
          <w:tblLayout w:type="fixed"/>
          <w:tblCellMar>
            <w:top w:w="0" w:type="dxa"/>
            <w:left w:w="108" w:type="dxa"/>
            <w:bottom w:w="0" w:type="dxa"/>
            <w:right w:w="108" w:type="dxa"/>
          </w:tblCellMar>
        </w:tblPrEx>
        <w:trPr>
          <w:trHeight w:val="1129"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10</w:t>
            </w:r>
          </w:p>
        </w:tc>
        <w:tc>
          <w:tcPr>
            <w:tcW w:w="2384"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泗县村庄污水处理扩建工程</w:t>
            </w:r>
          </w:p>
        </w:tc>
        <w:tc>
          <w:tcPr>
            <w:tcW w:w="3248" w:type="dxa"/>
            <w:tcBorders>
              <w:top w:val="nil"/>
              <w:left w:val="nil"/>
              <w:bottom w:val="single" w:color="auto" w:sz="4" w:space="0"/>
              <w:right w:val="single" w:color="auto" w:sz="4" w:space="0"/>
            </w:tcBorders>
            <w:shd w:val="clear" w:color="auto" w:fill="auto"/>
            <w:vAlign w:val="center"/>
          </w:tcPr>
          <w:p>
            <w:pPr>
              <w:widowControl/>
              <w:jc w:val="lef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计划对草庙镇、黑塔镇、屏山镇、长沟镇分散式污水处理厂进行扩建，总扩建规模达1890 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/d，配套污水管网80 km。</w:t>
            </w:r>
          </w:p>
        </w:tc>
        <w:tc>
          <w:tcPr>
            <w:tcW w:w="1235" w:type="dxa"/>
            <w:tcBorders>
              <w:top w:val="nil"/>
              <w:left w:val="nil"/>
              <w:bottom w:val="single" w:color="auto" w:sz="4" w:space="0"/>
              <w:right w:val="single" w:color="auto" w:sz="4" w:space="0"/>
            </w:tcBorders>
            <w:shd w:val="clear" w:color="auto" w:fill="auto"/>
            <w:vAlign w:val="center"/>
          </w:tcPr>
          <w:p>
            <w:pPr>
              <w:widowControl/>
              <w:jc w:val="center"/>
              <w:rPr>
                <w:rFonts w:eastAsia="等线"/>
                <w:color w:val="000000"/>
                <w:kern w:val="0"/>
                <w:sz w:val="24"/>
              </w:rPr>
            </w:pPr>
            <w:r>
              <w:rPr>
                <w:rFonts w:hint="eastAsia" w:eastAsia="等线"/>
                <w:color w:val="000000"/>
                <w:kern w:val="0"/>
                <w:sz w:val="24"/>
              </w:rPr>
              <w:t>2025</w:t>
            </w:r>
          </w:p>
        </w:tc>
        <w:tc>
          <w:tcPr>
            <w:tcW w:w="815"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202</w:t>
            </w:r>
            <w:r>
              <w:rPr>
                <w:rFonts w:hint="eastAsia"/>
                <w:color w:val="000000"/>
                <w:kern w:val="0"/>
                <w:sz w:val="24"/>
              </w:rPr>
              <w:t>3</w:t>
            </w:r>
          </w:p>
        </w:tc>
      </w:tr>
      <w:tr>
        <w:tblPrEx>
          <w:tblLayout w:type="fixed"/>
          <w:tblCellMar>
            <w:top w:w="0" w:type="dxa"/>
            <w:left w:w="108" w:type="dxa"/>
            <w:bottom w:w="0" w:type="dxa"/>
            <w:right w:w="108" w:type="dxa"/>
          </w:tblCellMar>
        </w:tblPrEx>
        <w:trPr>
          <w:trHeight w:val="1609"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11</w:t>
            </w:r>
          </w:p>
        </w:tc>
        <w:tc>
          <w:tcPr>
            <w:tcW w:w="2384" w:type="dxa"/>
            <w:tcBorders>
              <w:top w:val="nil"/>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汴石引河工程</w:t>
            </w:r>
          </w:p>
        </w:tc>
        <w:tc>
          <w:tcPr>
            <w:tcW w:w="3248" w:type="dxa"/>
            <w:tcBorders>
              <w:top w:val="nil"/>
              <w:left w:val="nil"/>
              <w:bottom w:val="single" w:color="auto" w:sz="4" w:space="0"/>
              <w:right w:val="single" w:color="auto" w:sz="4" w:space="0"/>
            </w:tcBorders>
            <w:shd w:val="clear" w:color="auto" w:fill="auto"/>
            <w:vAlign w:val="center"/>
          </w:tcPr>
          <w:p>
            <w:pPr>
              <w:widowControl/>
              <w:jc w:val="left"/>
              <w:rPr>
                <w:rFonts w:eastAsiaTheme="minorEastAsia"/>
                <w:kern w:val="0"/>
                <w:sz w:val="24"/>
              </w:rPr>
            </w:pPr>
            <w:r>
              <w:rPr>
                <w:rFonts w:hint="eastAsia" w:eastAsiaTheme="minorEastAsia"/>
                <w:kern w:val="0"/>
                <w:sz w:val="24"/>
              </w:rPr>
              <w:t>通过汴石引河工程建设，引新汴河水北上入古汴河，向北穿过清水湾公园，维持大运河有水河段水系连通。</w:t>
            </w:r>
          </w:p>
        </w:tc>
        <w:tc>
          <w:tcPr>
            <w:tcW w:w="1235" w:type="dxa"/>
            <w:tcBorders>
              <w:top w:val="nil"/>
              <w:left w:val="nil"/>
              <w:bottom w:val="single" w:color="auto" w:sz="4" w:space="0"/>
              <w:right w:val="single" w:color="auto" w:sz="4" w:space="0"/>
            </w:tcBorders>
            <w:shd w:val="clear" w:color="auto" w:fill="auto"/>
            <w:vAlign w:val="center"/>
          </w:tcPr>
          <w:p>
            <w:pPr>
              <w:widowControl/>
              <w:jc w:val="center"/>
              <w:rPr>
                <w:rFonts w:eastAsia="等线"/>
                <w:color w:val="000000"/>
                <w:kern w:val="0"/>
                <w:sz w:val="24"/>
              </w:rPr>
            </w:pPr>
            <w:r>
              <w:rPr>
                <w:rFonts w:hint="eastAsia" w:eastAsia="等线"/>
                <w:color w:val="000000"/>
                <w:kern w:val="0"/>
                <w:sz w:val="24"/>
              </w:rPr>
              <w:t>3000</w:t>
            </w:r>
          </w:p>
        </w:tc>
        <w:tc>
          <w:tcPr>
            <w:tcW w:w="815" w:type="dxa"/>
            <w:tcBorders>
              <w:top w:val="nil"/>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2025</w:t>
            </w:r>
          </w:p>
        </w:tc>
      </w:tr>
      <w:tr>
        <w:tblPrEx>
          <w:tblLayout w:type="fixed"/>
          <w:tblCellMar>
            <w:top w:w="0" w:type="dxa"/>
            <w:left w:w="108" w:type="dxa"/>
            <w:bottom w:w="0" w:type="dxa"/>
            <w:right w:w="108" w:type="dxa"/>
          </w:tblCellMar>
        </w:tblPrEx>
        <w:trPr>
          <w:trHeight w:val="1259"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1</w:t>
            </w:r>
            <w:r>
              <w:rPr>
                <w:rFonts w:hint="eastAsia"/>
                <w:color w:val="000000"/>
                <w:kern w:val="0"/>
                <w:sz w:val="24"/>
              </w:rPr>
              <w:t>2</w:t>
            </w:r>
          </w:p>
        </w:tc>
        <w:tc>
          <w:tcPr>
            <w:tcW w:w="2384"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大运河泗县段保护展示利用工程</w:t>
            </w:r>
          </w:p>
        </w:tc>
        <w:tc>
          <w:tcPr>
            <w:tcW w:w="3248" w:type="dxa"/>
            <w:tcBorders>
              <w:top w:val="nil"/>
              <w:left w:val="nil"/>
              <w:bottom w:val="single" w:color="auto" w:sz="4" w:space="0"/>
              <w:right w:val="single" w:color="auto" w:sz="4" w:space="0"/>
            </w:tcBorders>
            <w:shd w:val="clear" w:color="auto" w:fill="auto"/>
            <w:vAlign w:val="center"/>
          </w:tcPr>
          <w:p>
            <w:pPr>
              <w:widowControl/>
              <w:jc w:val="left"/>
              <w:rPr>
                <w:color w:val="000000"/>
                <w:kern w:val="0"/>
                <w:sz w:val="24"/>
              </w:rPr>
            </w:pPr>
            <w:r>
              <w:rPr>
                <w:color w:val="000000"/>
                <w:kern w:val="0"/>
                <w:sz w:val="24"/>
              </w:rPr>
              <w:t>对泗县运河段全线47 km进行保护、展示性利用和环境治理。包括对河道疏浚修复和清淤、复氧、堤岸环境整治和绿化提升，打造绿色生态廊道。设置必要的河道、河堤标识标牌系统等设施，对重要考古挖掘点进行遗址展示等。</w:t>
            </w:r>
          </w:p>
        </w:tc>
        <w:tc>
          <w:tcPr>
            <w:tcW w:w="1235" w:type="dxa"/>
            <w:tcBorders>
              <w:top w:val="nil"/>
              <w:left w:val="nil"/>
              <w:bottom w:val="single" w:color="auto" w:sz="4" w:space="0"/>
              <w:right w:val="single" w:color="auto" w:sz="4" w:space="0"/>
            </w:tcBorders>
            <w:shd w:val="clear" w:color="auto" w:fill="auto"/>
            <w:vAlign w:val="center"/>
          </w:tcPr>
          <w:p>
            <w:pPr>
              <w:widowControl/>
              <w:jc w:val="center"/>
              <w:rPr>
                <w:rFonts w:eastAsia="等线"/>
                <w:color w:val="000000" w:themeColor="text1"/>
                <w:kern w:val="0"/>
                <w:sz w:val="24"/>
                <w14:textFill>
                  <w14:solidFill>
                    <w14:schemeClr w14:val="tx1"/>
                  </w14:solidFill>
                </w14:textFill>
              </w:rPr>
            </w:pPr>
            <w:r>
              <w:rPr>
                <w:rFonts w:hint="eastAsia" w:eastAsia="等线"/>
                <w:color w:val="000000" w:themeColor="text1"/>
                <w:kern w:val="0"/>
                <w:sz w:val="24"/>
                <w14:textFill>
                  <w14:solidFill>
                    <w14:schemeClr w14:val="tx1"/>
                  </w14:solidFill>
                </w14:textFill>
              </w:rPr>
              <w:t>35000</w:t>
            </w:r>
          </w:p>
        </w:tc>
        <w:tc>
          <w:tcPr>
            <w:tcW w:w="815"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2022</w:t>
            </w:r>
          </w:p>
        </w:tc>
      </w:tr>
      <w:tr>
        <w:tblPrEx>
          <w:tblLayout w:type="fixed"/>
          <w:tblCellMar>
            <w:top w:w="0" w:type="dxa"/>
            <w:left w:w="108" w:type="dxa"/>
            <w:bottom w:w="0" w:type="dxa"/>
            <w:right w:w="108" w:type="dxa"/>
          </w:tblCellMar>
        </w:tblPrEx>
        <w:trPr>
          <w:trHeight w:val="998"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1</w:t>
            </w:r>
            <w:r>
              <w:rPr>
                <w:rFonts w:hint="eastAsia"/>
                <w:color w:val="000000"/>
                <w:kern w:val="0"/>
                <w:sz w:val="24"/>
              </w:rPr>
              <w:t>3</w:t>
            </w:r>
          </w:p>
        </w:tc>
        <w:tc>
          <w:tcPr>
            <w:tcW w:w="2384" w:type="dxa"/>
            <w:tcBorders>
              <w:top w:val="nil"/>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eastAsiaTheme="minorEastAsia"/>
                <w:kern w:val="0"/>
                <w:sz w:val="24"/>
              </w:rPr>
              <w:t>泗县西古汴河截污清淤、疏浚、生态修复</w:t>
            </w:r>
            <w:r>
              <w:rPr>
                <w:rFonts w:hint="eastAsia" w:eastAsiaTheme="minorEastAsia"/>
                <w:kern w:val="0"/>
                <w:sz w:val="24"/>
              </w:rPr>
              <w:t>工程</w:t>
            </w:r>
          </w:p>
        </w:tc>
        <w:tc>
          <w:tcPr>
            <w:tcW w:w="3248" w:type="dxa"/>
            <w:tcBorders>
              <w:top w:val="nil"/>
              <w:left w:val="nil"/>
              <w:bottom w:val="single" w:color="auto" w:sz="4" w:space="0"/>
              <w:right w:val="single" w:color="auto" w:sz="4" w:space="0"/>
            </w:tcBorders>
            <w:shd w:val="clear" w:color="auto" w:fill="auto"/>
            <w:vAlign w:val="center"/>
          </w:tcPr>
          <w:p>
            <w:pPr>
              <w:widowControl/>
              <w:jc w:val="left"/>
              <w:rPr>
                <w:rFonts w:eastAsiaTheme="minorEastAsia"/>
                <w:kern w:val="0"/>
                <w:sz w:val="24"/>
              </w:rPr>
            </w:pPr>
            <w:r>
              <w:rPr>
                <w:rFonts w:eastAsiaTheme="minorEastAsia"/>
                <w:kern w:val="0"/>
                <w:sz w:val="24"/>
              </w:rPr>
              <w:t>全长21</w:t>
            </w:r>
            <w:r>
              <w:rPr>
                <w:rFonts w:hint="eastAsia" w:eastAsiaTheme="minorEastAsia"/>
                <w:kern w:val="0"/>
                <w:sz w:val="24"/>
              </w:rPr>
              <w:t xml:space="preserve"> km</w:t>
            </w:r>
            <w:r>
              <w:rPr>
                <w:rFonts w:eastAsiaTheme="minorEastAsia"/>
                <w:kern w:val="0"/>
                <w:sz w:val="24"/>
              </w:rPr>
              <w:t>活水循环、截污、清淤、疏浚、生态修复</w:t>
            </w:r>
          </w:p>
        </w:tc>
        <w:tc>
          <w:tcPr>
            <w:tcW w:w="1235" w:type="dxa"/>
            <w:tcBorders>
              <w:top w:val="nil"/>
              <w:left w:val="nil"/>
              <w:bottom w:val="single" w:color="auto" w:sz="4" w:space="0"/>
              <w:right w:val="single" w:color="auto" w:sz="4" w:space="0"/>
            </w:tcBorders>
            <w:shd w:val="clear" w:color="auto" w:fill="auto"/>
            <w:vAlign w:val="center"/>
          </w:tcPr>
          <w:p>
            <w:pPr>
              <w:widowControl/>
              <w:jc w:val="center"/>
              <w:rPr>
                <w:rFonts w:eastAsia="等线"/>
                <w:color w:val="000000" w:themeColor="text1"/>
                <w:kern w:val="0"/>
                <w:sz w:val="24"/>
                <w14:textFill>
                  <w14:solidFill>
                    <w14:schemeClr w14:val="tx1"/>
                  </w14:solidFill>
                </w14:textFill>
              </w:rPr>
            </w:pPr>
            <w:r>
              <w:rPr>
                <w:rFonts w:hint="eastAsia" w:eastAsia="等线"/>
                <w:color w:val="000000" w:themeColor="text1"/>
                <w:kern w:val="0"/>
                <w:sz w:val="24"/>
                <w14:textFill>
                  <w14:solidFill>
                    <w14:schemeClr w14:val="tx1"/>
                  </w14:solidFill>
                </w14:textFill>
              </w:rPr>
              <w:t>6</w:t>
            </w:r>
            <w:r>
              <w:rPr>
                <w:rFonts w:eastAsia="等线"/>
                <w:color w:val="000000" w:themeColor="text1"/>
                <w:kern w:val="0"/>
                <w:sz w:val="24"/>
                <w14:textFill>
                  <w14:solidFill>
                    <w14:schemeClr w14:val="tx1"/>
                  </w14:solidFill>
                </w14:textFill>
              </w:rPr>
              <w:t>000</w:t>
            </w:r>
          </w:p>
        </w:tc>
        <w:tc>
          <w:tcPr>
            <w:tcW w:w="815" w:type="dxa"/>
            <w:tcBorders>
              <w:top w:val="nil"/>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2022</w:t>
            </w:r>
          </w:p>
        </w:tc>
      </w:tr>
      <w:tr>
        <w:tblPrEx>
          <w:tblLayout w:type="fixed"/>
          <w:tblCellMar>
            <w:top w:w="0" w:type="dxa"/>
            <w:left w:w="108" w:type="dxa"/>
            <w:bottom w:w="0" w:type="dxa"/>
            <w:right w:w="108" w:type="dxa"/>
          </w:tblCellMar>
        </w:tblPrEx>
        <w:trPr>
          <w:trHeight w:val="1542"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1</w:t>
            </w:r>
            <w:r>
              <w:rPr>
                <w:rFonts w:hint="eastAsia"/>
                <w:color w:val="000000"/>
                <w:kern w:val="0"/>
                <w:sz w:val="24"/>
              </w:rPr>
              <w:t>4</w:t>
            </w:r>
          </w:p>
        </w:tc>
        <w:tc>
          <w:tcPr>
            <w:tcW w:w="2384" w:type="dxa"/>
            <w:tcBorders>
              <w:top w:val="nil"/>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eastAsiaTheme="minorEastAsia"/>
                <w:kern w:val="0"/>
                <w:sz w:val="24"/>
              </w:rPr>
              <w:t>泗县石梁河面上大中小沟治理清淤疏浚</w:t>
            </w:r>
            <w:r>
              <w:rPr>
                <w:rFonts w:hint="eastAsia" w:eastAsiaTheme="minorEastAsia"/>
                <w:kern w:val="0"/>
                <w:sz w:val="24"/>
              </w:rPr>
              <w:t>工程</w:t>
            </w:r>
          </w:p>
        </w:tc>
        <w:tc>
          <w:tcPr>
            <w:tcW w:w="3248" w:type="dxa"/>
            <w:tcBorders>
              <w:top w:val="nil"/>
              <w:left w:val="nil"/>
              <w:bottom w:val="single" w:color="auto" w:sz="4" w:space="0"/>
              <w:right w:val="single" w:color="auto" w:sz="4" w:space="0"/>
            </w:tcBorders>
            <w:shd w:val="clear" w:color="auto" w:fill="auto"/>
            <w:vAlign w:val="center"/>
          </w:tcPr>
          <w:p>
            <w:pPr>
              <w:widowControl/>
              <w:jc w:val="left"/>
              <w:rPr>
                <w:rFonts w:eastAsiaTheme="minorEastAsia"/>
                <w:kern w:val="0"/>
                <w:sz w:val="24"/>
              </w:rPr>
            </w:pPr>
            <w:r>
              <w:rPr>
                <w:rFonts w:eastAsiaTheme="minorEastAsia"/>
                <w:kern w:val="0"/>
                <w:sz w:val="24"/>
              </w:rPr>
              <w:t>411</w:t>
            </w:r>
            <w:r>
              <w:rPr>
                <w:rFonts w:hint="eastAsia" w:eastAsiaTheme="minorEastAsia"/>
                <w:kern w:val="0"/>
                <w:sz w:val="24"/>
              </w:rPr>
              <w:t xml:space="preserve"> km</w:t>
            </w:r>
            <w:r>
              <w:rPr>
                <w:rFonts w:hint="eastAsia" w:eastAsiaTheme="minorEastAsia"/>
                <w:kern w:val="0"/>
                <w:sz w:val="24"/>
                <w:vertAlign w:val="superscript"/>
              </w:rPr>
              <w:t>2</w:t>
            </w:r>
            <w:r>
              <w:rPr>
                <w:rFonts w:eastAsiaTheme="minorEastAsia"/>
                <w:kern w:val="0"/>
                <w:sz w:val="24"/>
              </w:rPr>
              <w:t>范围内</w:t>
            </w:r>
            <w:r>
              <w:rPr>
                <w:rFonts w:hint="eastAsia" w:eastAsiaTheme="minorEastAsia"/>
                <w:kern w:val="0"/>
                <w:sz w:val="24"/>
              </w:rPr>
              <w:t>的</w:t>
            </w:r>
            <w:r>
              <w:rPr>
                <w:rFonts w:eastAsiaTheme="minorEastAsia"/>
                <w:kern w:val="0"/>
                <w:sz w:val="24"/>
              </w:rPr>
              <w:t>大中小沟治理及工程建设</w:t>
            </w:r>
          </w:p>
        </w:tc>
        <w:tc>
          <w:tcPr>
            <w:tcW w:w="1235" w:type="dxa"/>
            <w:tcBorders>
              <w:top w:val="nil"/>
              <w:left w:val="nil"/>
              <w:bottom w:val="single" w:color="auto" w:sz="4" w:space="0"/>
              <w:right w:val="single" w:color="auto" w:sz="4" w:space="0"/>
            </w:tcBorders>
            <w:shd w:val="clear" w:color="auto" w:fill="auto"/>
            <w:vAlign w:val="center"/>
          </w:tcPr>
          <w:p>
            <w:pPr>
              <w:widowControl/>
              <w:jc w:val="center"/>
              <w:rPr>
                <w:rFonts w:eastAsia="等线"/>
                <w:color w:val="000000" w:themeColor="text1"/>
                <w:kern w:val="0"/>
                <w:sz w:val="24"/>
                <w14:textFill>
                  <w14:solidFill>
                    <w14:schemeClr w14:val="tx1"/>
                  </w14:solidFill>
                </w14:textFill>
              </w:rPr>
            </w:pPr>
            <w:r>
              <w:rPr>
                <w:rFonts w:hint="eastAsia" w:eastAsia="等线"/>
                <w:color w:val="000000" w:themeColor="text1"/>
                <w:kern w:val="0"/>
                <w:sz w:val="24"/>
                <w14:textFill>
                  <w14:solidFill>
                    <w14:schemeClr w14:val="tx1"/>
                  </w14:solidFill>
                </w14:textFill>
              </w:rPr>
              <w:t>30</w:t>
            </w:r>
            <w:r>
              <w:rPr>
                <w:rFonts w:eastAsia="等线"/>
                <w:color w:val="000000" w:themeColor="text1"/>
                <w:kern w:val="0"/>
                <w:sz w:val="24"/>
                <w14:textFill>
                  <w14:solidFill>
                    <w14:schemeClr w14:val="tx1"/>
                  </w14:solidFill>
                </w14:textFill>
              </w:rPr>
              <w:t>000</w:t>
            </w:r>
          </w:p>
        </w:tc>
        <w:tc>
          <w:tcPr>
            <w:tcW w:w="815" w:type="dxa"/>
            <w:tcBorders>
              <w:top w:val="nil"/>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2022</w:t>
            </w:r>
          </w:p>
        </w:tc>
      </w:tr>
      <w:tr>
        <w:tblPrEx>
          <w:tblLayout w:type="fixed"/>
          <w:tblCellMar>
            <w:top w:w="0" w:type="dxa"/>
            <w:left w:w="108" w:type="dxa"/>
            <w:bottom w:w="0" w:type="dxa"/>
            <w:right w:w="108" w:type="dxa"/>
          </w:tblCellMar>
        </w:tblPrEx>
        <w:trPr>
          <w:trHeight w:val="1008"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15</w:t>
            </w:r>
          </w:p>
        </w:tc>
        <w:tc>
          <w:tcPr>
            <w:tcW w:w="2384" w:type="dxa"/>
            <w:tcBorders>
              <w:top w:val="nil"/>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eastAsiaTheme="minorEastAsia"/>
                <w:kern w:val="0"/>
                <w:sz w:val="24"/>
              </w:rPr>
              <w:t>泗县石梁河生态修复</w:t>
            </w:r>
            <w:r>
              <w:rPr>
                <w:rFonts w:hint="eastAsia" w:eastAsiaTheme="minorEastAsia"/>
                <w:kern w:val="0"/>
                <w:sz w:val="24"/>
              </w:rPr>
              <w:t>工程</w:t>
            </w:r>
          </w:p>
        </w:tc>
        <w:tc>
          <w:tcPr>
            <w:tcW w:w="3248" w:type="dxa"/>
            <w:tcBorders>
              <w:top w:val="nil"/>
              <w:left w:val="nil"/>
              <w:bottom w:val="single" w:color="auto" w:sz="4" w:space="0"/>
              <w:right w:val="single" w:color="auto" w:sz="4" w:space="0"/>
            </w:tcBorders>
            <w:shd w:val="clear" w:color="auto" w:fill="auto"/>
            <w:vAlign w:val="center"/>
          </w:tcPr>
          <w:p>
            <w:pPr>
              <w:widowControl/>
              <w:jc w:val="left"/>
              <w:rPr>
                <w:rFonts w:eastAsiaTheme="minorEastAsia"/>
                <w:kern w:val="0"/>
                <w:sz w:val="24"/>
              </w:rPr>
            </w:pPr>
            <w:r>
              <w:rPr>
                <w:rFonts w:eastAsiaTheme="minorEastAsia"/>
                <w:kern w:val="0"/>
                <w:sz w:val="24"/>
              </w:rPr>
              <w:t>河道及大中小沟生态修复</w:t>
            </w:r>
          </w:p>
        </w:tc>
        <w:tc>
          <w:tcPr>
            <w:tcW w:w="1235" w:type="dxa"/>
            <w:tcBorders>
              <w:top w:val="nil"/>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15000</w:t>
            </w:r>
          </w:p>
        </w:tc>
        <w:tc>
          <w:tcPr>
            <w:tcW w:w="815" w:type="dxa"/>
            <w:tcBorders>
              <w:top w:val="nil"/>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2022</w:t>
            </w:r>
          </w:p>
        </w:tc>
      </w:tr>
      <w:tr>
        <w:tblPrEx>
          <w:tblLayout w:type="fixed"/>
          <w:tblCellMar>
            <w:top w:w="0" w:type="dxa"/>
            <w:left w:w="108" w:type="dxa"/>
            <w:bottom w:w="0" w:type="dxa"/>
            <w:right w:w="108" w:type="dxa"/>
          </w:tblCellMar>
        </w:tblPrEx>
        <w:trPr>
          <w:trHeight w:val="832"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16</w:t>
            </w:r>
          </w:p>
        </w:tc>
        <w:tc>
          <w:tcPr>
            <w:tcW w:w="2384" w:type="dxa"/>
            <w:tcBorders>
              <w:top w:val="nil"/>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eastAsiaTheme="minorEastAsia"/>
                <w:kern w:val="0"/>
                <w:sz w:val="24"/>
              </w:rPr>
              <w:t>泗县新汴河新濉河拓展延伸段</w:t>
            </w:r>
            <w:r>
              <w:rPr>
                <w:rFonts w:hint="eastAsia" w:eastAsiaTheme="minorEastAsia"/>
                <w:kern w:val="0"/>
                <w:sz w:val="24"/>
              </w:rPr>
              <w:t>建设工程</w:t>
            </w:r>
          </w:p>
        </w:tc>
        <w:tc>
          <w:tcPr>
            <w:tcW w:w="3248" w:type="dxa"/>
            <w:tcBorders>
              <w:top w:val="nil"/>
              <w:left w:val="nil"/>
              <w:bottom w:val="single" w:color="auto" w:sz="4" w:space="0"/>
              <w:right w:val="single" w:color="auto" w:sz="4" w:space="0"/>
            </w:tcBorders>
            <w:shd w:val="clear" w:color="auto" w:fill="auto"/>
            <w:vAlign w:val="center"/>
          </w:tcPr>
          <w:p>
            <w:pPr>
              <w:widowControl/>
              <w:jc w:val="left"/>
              <w:rPr>
                <w:rFonts w:eastAsiaTheme="minorEastAsia"/>
                <w:kern w:val="0"/>
                <w:sz w:val="24"/>
              </w:rPr>
            </w:pPr>
            <w:r>
              <w:rPr>
                <w:rFonts w:eastAsiaTheme="minorEastAsia"/>
                <w:kern w:val="0"/>
                <w:sz w:val="24"/>
              </w:rPr>
              <w:t>提升改造新汴河、新濉河沿线建设</w:t>
            </w:r>
          </w:p>
        </w:tc>
        <w:tc>
          <w:tcPr>
            <w:tcW w:w="1235" w:type="dxa"/>
            <w:tcBorders>
              <w:top w:val="nil"/>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6000</w:t>
            </w:r>
          </w:p>
        </w:tc>
        <w:tc>
          <w:tcPr>
            <w:tcW w:w="815" w:type="dxa"/>
            <w:tcBorders>
              <w:top w:val="nil"/>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2022</w:t>
            </w:r>
          </w:p>
        </w:tc>
      </w:tr>
      <w:tr>
        <w:tblPrEx>
          <w:tblLayout w:type="fixed"/>
          <w:tblCellMar>
            <w:top w:w="0" w:type="dxa"/>
            <w:left w:w="108" w:type="dxa"/>
            <w:bottom w:w="0" w:type="dxa"/>
            <w:right w:w="108" w:type="dxa"/>
          </w:tblCellMar>
        </w:tblPrEx>
        <w:trPr>
          <w:trHeight w:val="1008"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17</w:t>
            </w:r>
          </w:p>
        </w:tc>
        <w:tc>
          <w:tcPr>
            <w:tcW w:w="2384" w:type="dxa"/>
            <w:tcBorders>
              <w:top w:val="nil"/>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eastAsiaTheme="minorEastAsia"/>
                <w:kern w:val="0"/>
                <w:sz w:val="24"/>
              </w:rPr>
              <w:t>石龙湖流域综合治理</w:t>
            </w:r>
            <w:r>
              <w:rPr>
                <w:rFonts w:hint="eastAsia" w:eastAsiaTheme="minorEastAsia"/>
                <w:kern w:val="0"/>
                <w:sz w:val="24"/>
              </w:rPr>
              <w:t>工程</w:t>
            </w:r>
          </w:p>
        </w:tc>
        <w:tc>
          <w:tcPr>
            <w:tcW w:w="3248" w:type="dxa"/>
            <w:tcBorders>
              <w:top w:val="nil"/>
              <w:left w:val="nil"/>
              <w:bottom w:val="single" w:color="auto" w:sz="4" w:space="0"/>
              <w:right w:val="single" w:color="auto" w:sz="4" w:space="0"/>
            </w:tcBorders>
            <w:shd w:val="clear" w:color="auto" w:fill="auto"/>
            <w:vAlign w:val="center"/>
          </w:tcPr>
          <w:p>
            <w:pPr>
              <w:widowControl/>
              <w:jc w:val="left"/>
              <w:rPr>
                <w:rFonts w:eastAsiaTheme="minorEastAsia"/>
                <w:kern w:val="0"/>
                <w:sz w:val="24"/>
              </w:rPr>
            </w:pPr>
            <w:r>
              <w:rPr>
                <w:rFonts w:eastAsiaTheme="minorEastAsia"/>
                <w:kern w:val="0"/>
                <w:sz w:val="24"/>
              </w:rPr>
              <w:t>主要包括引河入湖、破堤扩湖、环路展湖、吊桥、节制闸及石龙湖湿地清淤、生态修复、违建拆除、水质改善等</w:t>
            </w:r>
          </w:p>
        </w:tc>
        <w:tc>
          <w:tcPr>
            <w:tcW w:w="1235" w:type="dxa"/>
            <w:tcBorders>
              <w:top w:val="nil"/>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10000</w:t>
            </w:r>
          </w:p>
        </w:tc>
        <w:tc>
          <w:tcPr>
            <w:tcW w:w="815" w:type="dxa"/>
            <w:tcBorders>
              <w:top w:val="nil"/>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2022</w:t>
            </w:r>
          </w:p>
        </w:tc>
      </w:tr>
      <w:tr>
        <w:tblPrEx>
          <w:tblLayout w:type="fixed"/>
          <w:tblCellMar>
            <w:top w:w="0" w:type="dxa"/>
            <w:left w:w="108" w:type="dxa"/>
            <w:bottom w:w="0" w:type="dxa"/>
            <w:right w:w="108" w:type="dxa"/>
          </w:tblCellMar>
        </w:tblPrEx>
        <w:trPr>
          <w:trHeight w:val="918" w:hRule="atLeast"/>
          <w:jc w:val="center"/>
        </w:trPr>
        <w:tc>
          <w:tcPr>
            <w:tcW w:w="699" w:type="dxa"/>
            <w:tcBorders>
              <w:top w:val="nil"/>
              <w:left w:val="single" w:color="auto" w:sz="4" w:space="0"/>
              <w:bottom w:val="single" w:color="auto" w:sz="4" w:space="0"/>
              <w:right w:val="single" w:color="auto" w:sz="4" w:space="0"/>
            </w:tcBorders>
            <w:shd w:val="clear" w:color="auto" w:fill="auto"/>
            <w:vAlign w:val="center"/>
          </w:tcPr>
          <w:p>
            <w:pPr>
              <w:widowControl/>
              <w:jc w:val="center"/>
              <w:rPr>
                <w:color w:val="000000"/>
                <w:kern w:val="0"/>
                <w:sz w:val="24"/>
              </w:rPr>
            </w:pPr>
            <w:r>
              <w:rPr>
                <w:rFonts w:hint="eastAsia"/>
                <w:color w:val="000000"/>
                <w:kern w:val="0"/>
                <w:sz w:val="24"/>
              </w:rPr>
              <w:t>18</w:t>
            </w:r>
          </w:p>
        </w:tc>
        <w:tc>
          <w:tcPr>
            <w:tcW w:w="2384"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大运河宿州段水生态环境监测网络建设与管理项目</w:t>
            </w:r>
          </w:p>
        </w:tc>
        <w:tc>
          <w:tcPr>
            <w:tcW w:w="3248" w:type="dxa"/>
            <w:tcBorders>
              <w:top w:val="nil"/>
              <w:left w:val="nil"/>
              <w:bottom w:val="single" w:color="auto" w:sz="4" w:space="0"/>
              <w:right w:val="single" w:color="auto" w:sz="4" w:space="0"/>
            </w:tcBorders>
            <w:shd w:val="clear" w:color="auto" w:fill="auto"/>
            <w:vAlign w:val="center"/>
          </w:tcPr>
          <w:p>
            <w:pPr>
              <w:spacing w:line="360" w:lineRule="auto"/>
              <w:rPr>
                <w:sz w:val="24"/>
              </w:rPr>
            </w:pPr>
            <w:r>
              <w:rPr>
                <w:color w:val="000000"/>
                <w:kern w:val="0"/>
                <w:sz w:val="24"/>
              </w:rPr>
              <w:t>计划在大运河宿州段泗县境内建设5个县级微型监测点（大运河唐河交汇处、</w:t>
            </w:r>
            <w:r>
              <w:rPr>
                <w:rFonts w:hint="eastAsia"/>
                <w:color w:val="000000"/>
                <w:kern w:val="0"/>
                <w:sz w:val="24"/>
              </w:rPr>
              <w:t>大运河洪灵沟交汇处</w:t>
            </w:r>
            <w:r>
              <w:rPr>
                <w:color w:val="000000"/>
                <w:kern w:val="0"/>
                <w:sz w:val="24"/>
              </w:rPr>
              <w:t>、泗州桥、东关桥、濉河大运河交汇处），以此来</w:t>
            </w:r>
            <w:r>
              <w:rPr>
                <w:sz w:val="24"/>
              </w:rPr>
              <w:t>全面加强水质监测，密切关注大运河的水质、水量的变化情况，加大对各主要入河排污口的水质水情监测力度，完成常规水质参数以及叶绿素、氮、磷等富营养化指标和生物毒性等水质指标的实时连续监测，掌握水质状况和动态变化趋势。</w:t>
            </w:r>
          </w:p>
        </w:tc>
        <w:tc>
          <w:tcPr>
            <w:tcW w:w="1235" w:type="dxa"/>
            <w:tcBorders>
              <w:top w:val="nil"/>
              <w:left w:val="nil"/>
              <w:bottom w:val="single" w:color="auto" w:sz="4" w:space="0"/>
              <w:right w:val="single" w:color="auto" w:sz="4" w:space="0"/>
            </w:tcBorders>
            <w:shd w:val="clear" w:color="auto" w:fill="auto"/>
            <w:vAlign w:val="center"/>
          </w:tcPr>
          <w:p>
            <w:pPr>
              <w:widowControl/>
              <w:jc w:val="center"/>
              <w:rPr>
                <w:rFonts w:eastAsiaTheme="minorEastAsia"/>
                <w:kern w:val="0"/>
                <w:sz w:val="24"/>
              </w:rPr>
            </w:pPr>
            <w:r>
              <w:rPr>
                <w:rFonts w:hint="eastAsia" w:eastAsiaTheme="minorEastAsia"/>
                <w:kern w:val="0"/>
                <w:sz w:val="24"/>
              </w:rPr>
              <w:t>500</w:t>
            </w:r>
          </w:p>
        </w:tc>
        <w:tc>
          <w:tcPr>
            <w:tcW w:w="815" w:type="dxa"/>
            <w:tcBorders>
              <w:top w:val="nil"/>
              <w:left w:val="nil"/>
              <w:bottom w:val="single" w:color="auto" w:sz="4" w:space="0"/>
              <w:right w:val="single" w:color="auto" w:sz="4" w:space="0"/>
            </w:tcBorders>
            <w:shd w:val="clear" w:color="auto" w:fill="auto"/>
            <w:vAlign w:val="center"/>
          </w:tcPr>
          <w:p>
            <w:pPr>
              <w:widowControl/>
              <w:jc w:val="center"/>
              <w:rPr>
                <w:color w:val="000000"/>
                <w:kern w:val="0"/>
                <w:sz w:val="24"/>
              </w:rPr>
            </w:pPr>
            <w:r>
              <w:rPr>
                <w:color w:val="000000"/>
                <w:kern w:val="0"/>
                <w:sz w:val="24"/>
              </w:rPr>
              <w:t>202</w:t>
            </w:r>
            <w:r>
              <w:rPr>
                <w:rFonts w:hint="eastAsia"/>
                <w:color w:val="000000"/>
                <w:kern w:val="0"/>
                <w:sz w:val="24"/>
              </w:rPr>
              <w:t>3</w:t>
            </w:r>
          </w:p>
        </w:tc>
      </w:tr>
      <w:tr>
        <w:tblPrEx>
          <w:tblLayout w:type="fixed"/>
          <w:tblCellMar>
            <w:top w:w="0" w:type="dxa"/>
            <w:left w:w="108" w:type="dxa"/>
            <w:bottom w:w="0" w:type="dxa"/>
            <w:right w:w="108" w:type="dxa"/>
          </w:tblCellMar>
        </w:tblPrEx>
        <w:trPr>
          <w:trHeight w:val="540" w:hRule="atLeast"/>
          <w:jc w:val="center"/>
        </w:trPr>
        <w:tc>
          <w:tcPr>
            <w:tcW w:w="69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宋体" w:hAnsi="宋体"/>
                <w:b/>
                <w:color w:val="000000"/>
                <w:kern w:val="0"/>
                <w:sz w:val="24"/>
              </w:rPr>
            </w:pPr>
            <w:r>
              <w:rPr>
                <w:rFonts w:hint="eastAsia" w:ascii="宋体" w:hAnsi="宋体"/>
                <w:b/>
                <w:color w:val="000000"/>
                <w:kern w:val="0"/>
                <w:sz w:val="24"/>
              </w:rPr>
              <w:t>合计</w:t>
            </w:r>
          </w:p>
        </w:tc>
        <w:tc>
          <w:tcPr>
            <w:tcW w:w="2384"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eastAsia="等线"/>
                <w:color w:val="000000"/>
                <w:kern w:val="0"/>
                <w:sz w:val="24"/>
              </w:rPr>
            </w:pPr>
          </w:p>
        </w:tc>
        <w:tc>
          <w:tcPr>
            <w:tcW w:w="3248" w:type="dxa"/>
            <w:tcBorders>
              <w:top w:val="single" w:color="auto" w:sz="4" w:space="0"/>
              <w:left w:val="nil"/>
              <w:bottom w:val="single" w:color="auto" w:sz="4" w:space="0"/>
              <w:right w:val="single" w:color="auto" w:sz="4" w:space="0"/>
            </w:tcBorders>
            <w:shd w:val="clear" w:color="auto" w:fill="auto"/>
            <w:vAlign w:val="center"/>
          </w:tcPr>
          <w:p>
            <w:pPr>
              <w:widowControl/>
              <w:jc w:val="left"/>
              <w:rPr>
                <w:rFonts w:eastAsia="等线"/>
                <w:color w:val="000000"/>
                <w:kern w:val="0"/>
                <w:sz w:val="24"/>
              </w:rPr>
            </w:pPr>
          </w:p>
        </w:tc>
        <w:tc>
          <w:tcPr>
            <w:tcW w:w="1235" w:type="dxa"/>
            <w:tcBorders>
              <w:top w:val="single" w:color="auto" w:sz="4" w:space="0"/>
              <w:left w:val="nil"/>
              <w:bottom w:val="single" w:color="auto" w:sz="4" w:space="0"/>
              <w:right w:val="single" w:color="auto" w:sz="4" w:space="0"/>
            </w:tcBorders>
            <w:shd w:val="clear" w:color="auto" w:fill="auto"/>
            <w:vAlign w:val="center"/>
          </w:tcPr>
          <w:p>
            <w:pPr>
              <w:widowControl/>
              <w:spacing w:line="400" w:lineRule="exact"/>
              <w:jc w:val="center"/>
              <w:textAlignment w:val="center"/>
              <w:rPr>
                <w:rFonts w:ascii="宋体" w:hAnsi="宋体" w:cs="宋体"/>
                <w:b/>
                <w:color w:val="000000"/>
                <w:sz w:val="22"/>
                <w:szCs w:val="22"/>
              </w:rPr>
            </w:pPr>
            <w:r>
              <w:rPr>
                <w:rFonts w:hint="eastAsia" w:eastAsiaTheme="minorEastAsia"/>
                <w:b/>
                <w:kern w:val="0"/>
                <w:sz w:val="24"/>
              </w:rPr>
              <w:t>659322</w:t>
            </w:r>
          </w:p>
        </w:tc>
        <w:tc>
          <w:tcPr>
            <w:tcW w:w="815"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eastAsia="等线"/>
                <w:color w:val="000000"/>
                <w:kern w:val="0"/>
                <w:sz w:val="24"/>
              </w:rPr>
            </w:pPr>
          </w:p>
        </w:tc>
      </w:tr>
    </w:tbl>
    <w:p/>
    <w:p>
      <w:pPr>
        <w:rPr>
          <w:sz w:val="24"/>
        </w:rPr>
      </w:pPr>
    </w:p>
    <w:p>
      <w:pPr>
        <w:pStyle w:val="4"/>
        <w:spacing w:before="312" w:after="312"/>
        <w:rPr>
          <w:rFonts w:eastAsiaTheme="minorEastAsia"/>
        </w:rPr>
      </w:pPr>
      <w:bookmarkStart w:id="196" w:name="_Toc84536560"/>
      <w:r>
        <w:rPr>
          <w:rFonts w:hint="eastAsia" w:eastAsiaTheme="minorEastAsia"/>
        </w:rPr>
        <w:t>6.2</w:t>
      </w:r>
      <w:r>
        <w:rPr>
          <w:rFonts w:hint="eastAsia"/>
        </w:rPr>
        <w:t xml:space="preserve"> </w:t>
      </w:r>
      <w:r>
        <w:rPr>
          <w:rFonts w:hint="eastAsia" w:asciiTheme="minorEastAsia" w:hAnsiTheme="minorEastAsia" w:eastAsiaTheme="minorEastAsia"/>
        </w:rPr>
        <w:t>资金筹措</w:t>
      </w:r>
      <w:bookmarkEnd w:id="196"/>
    </w:p>
    <w:p>
      <w:pPr>
        <w:pStyle w:val="12"/>
        <w:spacing w:line="360" w:lineRule="auto"/>
        <w:ind w:firstLine="560"/>
        <w:rPr>
          <w:rFonts w:ascii="宋体" w:hAnsi="宋体" w:eastAsia="宋体"/>
          <w:color w:val="000000"/>
          <w:sz w:val="28"/>
          <w:szCs w:val="28"/>
        </w:rPr>
      </w:pPr>
      <w:r>
        <w:rPr>
          <w:rFonts w:hint="eastAsia" w:ascii="宋体" w:hAnsi="宋体" w:eastAsia="宋体"/>
          <w:color w:val="000000"/>
          <w:sz w:val="28"/>
          <w:szCs w:val="28"/>
        </w:rPr>
        <w:t>本</w:t>
      </w:r>
      <w:r>
        <w:rPr>
          <w:rFonts w:hint="eastAsia" w:ascii="Times New Roman" w:hAnsi="Times New Roman" w:eastAsia="宋体"/>
          <w:bCs/>
          <w:sz w:val="28"/>
          <w:szCs w:val="28"/>
        </w:rPr>
        <w:t>项目估算费用为659322.00万元，全部由</w:t>
      </w:r>
      <w:r>
        <w:rPr>
          <w:rFonts w:hint="eastAsia" w:ascii="Times New Roman" w:hAnsi="Times New Roman" w:eastAsia="宋体"/>
          <w:bCs/>
          <w:color w:val="000000" w:themeColor="text1"/>
          <w:sz w:val="28"/>
          <w:szCs w:val="28"/>
          <w14:textFill>
            <w14:solidFill>
              <w14:schemeClr w14:val="tx1"/>
            </w14:solidFill>
          </w14:textFill>
        </w:rPr>
        <w:t>财政资金</w:t>
      </w:r>
      <w:r>
        <w:rPr>
          <w:rFonts w:hint="eastAsia" w:ascii="Times New Roman" w:hAnsi="Times New Roman" w:eastAsia="宋体"/>
          <w:bCs/>
          <w:sz w:val="28"/>
          <w:szCs w:val="28"/>
        </w:rPr>
        <w:t>给予解决。</w:t>
      </w:r>
    </w:p>
    <w:p>
      <w:pPr>
        <w:widowControl/>
        <w:jc w:val="left"/>
        <w:rPr>
          <w:b/>
          <w:color w:val="000000" w:themeColor="text1"/>
          <w:sz w:val="32"/>
          <w:szCs w:val="32"/>
          <w14:textFill>
            <w14:solidFill>
              <w14:schemeClr w14:val="tx1"/>
            </w14:solidFill>
          </w14:textFill>
        </w:rPr>
      </w:pPr>
      <w:r>
        <w:rPr>
          <w:b/>
          <w:color w:val="000000" w:themeColor="text1"/>
          <w:sz w:val="32"/>
          <w:szCs w:val="32"/>
          <w14:textFill>
            <w14:solidFill>
              <w14:schemeClr w14:val="tx1"/>
            </w14:solidFill>
          </w14:textFill>
        </w:rPr>
        <w:br w:type="page"/>
      </w:r>
    </w:p>
    <w:p>
      <w:pPr>
        <w:pStyle w:val="3"/>
        <w:spacing w:before="374" w:beforeLines="120" w:after="374" w:afterLines="120"/>
      </w:pPr>
      <w:bookmarkStart w:id="197" w:name="_Toc84536561"/>
      <w:r>
        <w:rPr>
          <w:rFonts w:hint="eastAsia"/>
        </w:rPr>
        <w:t>7 工程效益及目标可达性分析</w:t>
      </w:r>
      <w:bookmarkEnd w:id="197"/>
    </w:p>
    <w:p>
      <w:pPr>
        <w:pStyle w:val="4"/>
        <w:spacing w:before="312" w:after="312"/>
      </w:pPr>
      <w:bookmarkStart w:id="198" w:name="_Toc84536562"/>
      <w:r>
        <w:rPr>
          <w:rFonts w:hint="eastAsia" w:eastAsiaTheme="minorEastAsia"/>
        </w:rPr>
        <w:t>7</w:t>
      </w:r>
      <w:r>
        <w:rPr>
          <w:rFonts w:hint="eastAsia"/>
        </w:rPr>
        <w:t xml:space="preserve">.1 </w:t>
      </w:r>
      <w:r>
        <w:rPr>
          <w:rFonts w:hint="eastAsia" w:asciiTheme="minorEastAsia" w:hAnsiTheme="minorEastAsia" w:eastAsiaTheme="minorEastAsia"/>
        </w:rPr>
        <w:t>工程效益分析</w:t>
      </w:r>
      <w:bookmarkEnd w:id="198"/>
    </w:p>
    <w:p>
      <w:pPr>
        <w:pStyle w:val="25"/>
        <w:spacing w:before="156" w:after="156"/>
        <w:ind w:left="0" w:leftChars="0"/>
      </w:pPr>
      <w:bookmarkStart w:id="199" w:name="_Toc84536563"/>
      <w:r>
        <w:rPr>
          <w:rFonts w:hint="eastAsia"/>
        </w:rPr>
        <w:t>7.1.1 环境效益</w:t>
      </w:r>
      <w:bookmarkEnd w:id="199"/>
    </w:p>
    <w:p>
      <w:pPr>
        <w:spacing w:line="360" w:lineRule="auto"/>
        <w:ind w:firstLine="560" w:firstLineChars="200"/>
        <w:jc w:val="left"/>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本方案的实施，将改善大运河流域的生态环境质量，对大运河流域的经济开发及持续发展，具有重大战略意义。它可以削减水环境污染物，有效保障流域的水环境质量，减少水土流失，改善生态环境，有效利用河流的水资源。从根本上改善水质。实现大运河流域水环境可持续发展。</w:t>
      </w:r>
    </w:p>
    <w:p>
      <w:pPr>
        <w:pStyle w:val="25"/>
        <w:spacing w:before="156" w:after="156"/>
        <w:ind w:left="0" w:leftChars="0"/>
      </w:pPr>
      <w:bookmarkStart w:id="200" w:name="_Toc84536564"/>
      <w:r>
        <w:rPr>
          <w:rFonts w:hint="eastAsia"/>
        </w:rPr>
        <w:t>7.1.2 经济效益</w:t>
      </w:r>
      <w:bookmarkEnd w:id="200"/>
    </w:p>
    <w:p>
      <w:pPr>
        <w:spacing w:line="360" w:lineRule="auto"/>
        <w:ind w:firstLine="560" w:firstLineChars="200"/>
        <w:jc w:val="left"/>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本实施方案的实施，一方面改善了大运河流域的水质与水生态，具有十分重大的经济意义；另一方面，通过不断加强对大运河文化的系统研究，多层次、全方位、不间断地深化对大运河文化内涵的认知。对推动相关产业聚焦融合有重大作用，立足于大运河文化特色和区域功能定位，深入发掘大运河文化资源，对积极探索和发展与大运河相关联的创意设计、文化创作、体育休闲、艺术娱乐、乡村旅游等特色产业有重大积极作用。</w:t>
      </w:r>
    </w:p>
    <w:p>
      <w:pPr>
        <w:pStyle w:val="25"/>
        <w:spacing w:before="156" w:after="156"/>
        <w:ind w:left="0" w:leftChars="0"/>
      </w:pPr>
      <w:bookmarkStart w:id="201" w:name="_Toc84536565"/>
      <w:r>
        <w:rPr>
          <w:rFonts w:hint="eastAsia"/>
        </w:rPr>
        <w:t>7.1.3 社会效益</w:t>
      </w:r>
      <w:bookmarkEnd w:id="201"/>
    </w:p>
    <w:p>
      <w:pPr>
        <w:spacing w:line="360" w:lineRule="auto"/>
        <w:ind w:firstLine="560" w:firstLineChars="200"/>
        <w:jc w:val="left"/>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提高了人民群众的环境保护意识。方案实施过程是一次深刻的、生动的环境保护宣传过程，通过具体的环境保护行动，使人们能够深刻认识环境保护的重要性，保护环境、节约资源将成为居民的自觉行为。</w:t>
      </w:r>
    </w:p>
    <w:p>
      <w:pPr>
        <w:spacing w:line="360" w:lineRule="auto"/>
        <w:ind w:firstLine="560" w:firstLineChars="200"/>
        <w:jc w:val="left"/>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提高了公共健康水平。流域自然环境改善和农村废水收集处理系统等基础设施完善，一方面净化了水体和空气，另一方面消除了蚊蝇等疾病传播媒质的滋生环境，人类生存环境得到保护和改善，减少了疾病发病率，对公共健康是极其有益的。</w:t>
      </w:r>
    </w:p>
    <w:p>
      <w:pPr>
        <w:spacing w:line="360" w:lineRule="auto"/>
        <w:ind w:firstLine="560" w:firstLineChars="200"/>
        <w:jc w:val="left"/>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本方案的实施也将极大地促进本流域的发展，实现经济可持续发展目标的实现。同时，还将大大地提高人们的生活和生存环境质量。</w:t>
      </w:r>
    </w:p>
    <w:p>
      <w:pPr>
        <w:pStyle w:val="4"/>
        <w:spacing w:before="312" w:after="312"/>
        <w:rPr>
          <w:rFonts w:eastAsiaTheme="minorEastAsia"/>
        </w:rPr>
      </w:pPr>
      <w:bookmarkStart w:id="202" w:name="_Toc84536566"/>
      <w:r>
        <w:rPr>
          <w:rFonts w:hint="eastAsia" w:eastAsiaTheme="minorEastAsia"/>
        </w:rPr>
        <w:t>7</w:t>
      </w:r>
      <w:r>
        <w:rPr>
          <w:rFonts w:hint="eastAsia"/>
        </w:rPr>
        <w:t>.2 水生态环境</w:t>
      </w:r>
      <w:r>
        <w:rPr>
          <w:rFonts w:hint="eastAsia" w:asciiTheme="minorEastAsia" w:hAnsiTheme="minorEastAsia" w:eastAsiaTheme="minorEastAsia"/>
        </w:rPr>
        <w:t>目标可达性分析</w:t>
      </w:r>
      <w:bookmarkEnd w:id="202"/>
    </w:p>
    <w:p>
      <w:pPr>
        <w:adjustRightInd w:val="0"/>
        <w:spacing w:line="360" w:lineRule="auto"/>
        <w:ind w:firstLine="560" w:firstLineChars="200"/>
        <w:jc w:val="left"/>
        <w:rPr>
          <w:rFonts w:eastAsiaTheme="minorEastAsia"/>
          <w:sz w:val="28"/>
          <w:szCs w:val="28"/>
        </w:rPr>
      </w:pPr>
      <w:r>
        <w:rPr>
          <w:sz w:val="28"/>
          <w:szCs w:val="28"/>
        </w:rPr>
        <w:t>参照工程实施项目对污染负荷去除率经验值</w:t>
      </w:r>
      <w:r>
        <w:rPr>
          <w:rFonts w:hint="eastAsia"/>
          <w:sz w:val="28"/>
          <w:szCs w:val="28"/>
        </w:rPr>
        <w:t>：</w:t>
      </w:r>
      <w:r>
        <w:rPr>
          <w:sz w:val="28"/>
          <w:szCs w:val="28"/>
        </w:rPr>
        <w:t>污水截流</w:t>
      </w:r>
      <w:r>
        <w:rPr>
          <w:rFonts w:hint="eastAsia"/>
          <w:sz w:val="28"/>
          <w:szCs w:val="28"/>
        </w:rPr>
        <w:t>可大部分去除</w:t>
      </w:r>
      <w:r>
        <w:rPr>
          <w:sz w:val="28"/>
          <w:szCs w:val="28"/>
        </w:rPr>
        <w:t>点源各项污染指标；生态恢复及绿化结合景观建设进行，在合理设置的条件下，可以对地表径流起到净化、拦截作用，COD去除率为</w:t>
      </w:r>
      <w:r>
        <w:rPr>
          <w:rFonts w:hint="eastAsia"/>
          <w:sz w:val="28"/>
          <w:szCs w:val="28"/>
        </w:rPr>
        <w:t>20</w:t>
      </w:r>
      <w:r>
        <w:rPr>
          <w:sz w:val="28"/>
          <w:szCs w:val="28"/>
        </w:rPr>
        <w:t>~</w:t>
      </w:r>
      <w:r>
        <w:rPr>
          <w:rFonts w:hint="eastAsia"/>
          <w:sz w:val="28"/>
          <w:szCs w:val="28"/>
        </w:rPr>
        <w:t>30</w:t>
      </w:r>
      <w:r>
        <w:rPr>
          <w:sz w:val="28"/>
          <w:szCs w:val="28"/>
        </w:rPr>
        <w:t>%，NH</w:t>
      </w:r>
      <w:r>
        <w:rPr>
          <w:sz w:val="28"/>
          <w:szCs w:val="28"/>
          <w:vertAlign w:val="subscript"/>
        </w:rPr>
        <w:t>3</w:t>
      </w:r>
      <w:r>
        <w:rPr>
          <w:sz w:val="28"/>
          <w:szCs w:val="28"/>
        </w:rPr>
        <w:t>-N、TN去除率为25%~35%，TP去除率为15%~25%；浅水生态系统是介于陆地和水生生态系统之间的过渡区域，包括一部分浅水区和与水体毗邻的陆地区，对浅水区域的污染治理及生态恢复具有很好的效果，对COD去除率为10%~20%，NH</w:t>
      </w:r>
      <w:r>
        <w:rPr>
          <w:sz w:val="28"/>
          <w:szCs w:val="28"/>
          <w:vertAlign w:val="subscript"/>
        </w:rPr>
        <w:t>3</w:t>
      </w:r>
      <w:r>
        <w:rPr>
          <w:sz w:val="28"/>
          <w:szCs w:val="28"/>
        </w:rPr>
        <w:t>-N、TN去除率为20%~30%，TP去除率为20%~30%；同时，对</w:t>
      </w:r>
      <w:r>
        <w:rPr>
          <w:rFonts w:hint="eastAsia"/>
          <w:sz w:val="28"/>
          <w:szCs w:val="28"/>
        </w:rPr>
        <w:t>淤积</w:t>
      </w:r>
      <w:r>
        <w:rPr>
          <w:sz w:val="28"/>
          <w:szCs w:val="28"/>
        </w:rPr>
        <w:t>河道及</w:t>
      </w:r>
      <w:r>
        <w:rPr>
          <w:rFonts w:hint="eastAsia"/>
          <w:sz w:val="28"/>
          <w:szCs w:val="28"/>
        </w:rPr>
        <w:t>支流支沟</w:t>
      </w:r>
      <w:r>
        <w:rPr>
          <w:sz w:val="28"/>
          <w:szCs w:val="28"/>
        </w:rPr>
        <w:t>进行清淤，对各污染物去除率按40%~45%考虑。预测</w:t>
      </w:r>
      <w:r>
        <w:rPr>
          <w:rFonts w:hint="eastAsia"/>
          <w:sz w:val="28"/>
          <w:szCs w:val="28"/>
        </w:rPr>
        <w:t>大运河宿州段</w:t>
      </w:r>
      <w:r>
        <w:rPr>
          <w:sz w:val="28"/>
          <w:szCs w:val="28"/>
        </w:rPr>
        <w:t>水质较现在水质将有所好转，</w:t>
      </w:r>
      <w:r>
        <w:rPr>
          <w:rFonts w:hint="eastAsia"/>
          <w:sz w:val="28"/>
          <w:szCs w:val="28"/>
        </w:rPr>
        <w:t>大运河宿州段</w:t>
      </w:r>
      <w:r>
        <w:rPr>
          <w:sz w:val="28"/>
          <w:szCs w:val="28"/>
        </w:rPr>
        <w:t>水环境综合整治方案实施后</w:t>
      </w:r>
      <w:r>
        <w:rPr>
          <w:rFonts w:hint="eastAsia"/>
          <w:sz w:val="28"/>
          <w:szCs w:val="28"/>
        </w:rPr>
        <w:t>，</w:t>
      </w:r>
      <w:r>
        <w:rPr>
          <w:sz w:val="28"/>
          <w:szCs w:val="28"/>
        </w:rPr>
        <w:t>到</w:t>
      </w:r>
      <w:r>
        <w:rPr>
          <w:rFonts w:hint="eastAsia"/>
          <w:sz w:val="28"/>
          <w:szCs w:val="28"/>
        </w:rPr>
        <w:t>2025</w:t>
      </w:r>
      <w:r>
        <w:rPr>
          <w:sz w:val="28"/>
          <w:szCs w:val="28"/>
        </w:rPr>
        <w:t>年，</w:t>
      </w:r>
      <w:r>
        <w:rPr>
          <w:rFonts w:hint="eastAsia" w:eastAsiaTheme="minorEastAsia"/>
          <w:sz w:val="28"/>
          <w:szCs w:val="28"/>
        </w:rPr>
        <w:t>大运河唐河交汇处、大运河洪灵沟交汇处、泗州桥、东关桥、濉河大运河交汇处断面水质可达到Ⅳ类。</w:t>
      </w:r>
    </w:p>
    <w:p>
      <w:pPr>
        <w:pStyle w:val="3"/>
        <w:spacing w:before="374" w:beforeLines="120" w:after="374" w:afterLines="120"/>
      </w:pPr>
      <w:bookmarkStart w:id="203" w:name="_Toc84536567"/>
      <w:r>
        <w:rPr>
          <w:rFonts w:hint="eastAsia"/>
        </w:rPr>
        <w:t>8 保障措施</w:t>
      </w:r>
      <w:bookmarkEnd w:id="203"/>
    </w:p>
    <w:p>
      <w:pPr>
        <w:pStyle w:val="4"/>
        <w:spacing w:before="312" w:after="312"/>
      </w:pPr>
      <w:bookmarkStart w:id="204" w:name="_Toc84536568"/>
      <w:r>
        <w:rPr>
          <w:rFonts w:hint="eastAsia" w:eastAsiaTheme="minorEastAsia"/>
        </w:rPr>
        <w:t>8</w:t>
      </w:r>
      <w:r>
        <w:rPr>
          <w:rFonts w:hint="eastAsia"/>
        </w:rPr>
        <w:t xml:space="preserve">.1 </w:t>
      </w:r>
      <w:r>
        <w:rPr>
          <w:rFonts w:hint="eastAsia" w:asciiTheme="minorEastAsia" w:hAnsiTheme="minorEastAsia" w:eastAsiaTheme="minorEastAsia"/>
        </w:rPr>
        <w:t>组织保障</w:t>
      </w:r>
      <w:bookmarkEnd w:id="204"/>
    </w:p>
    <w:p>
      <w:pPr>
        <w:spacing w:line="360" w:lineRule="auto"/>
        <w:ind w:firstLine="560" w:firstLineChars="200"/>
        <w:jc w:val="left"/>
        <w:rPr>
          <w:rFonts w:ascii="宋体" w:hAnsi="宋体" w:cs="宋体"/>
          <w:bCs/>
          <w:color w:val="000000" w:themeColor="text1"/>
          <w:sz w:val="30"/>
          <w:szCs w:val="30"/>
          <w14:textFill>
            <w14:solidFill>
              <w14:schemeClr w14:val="tx1"/>
            </w14:solidFill>
          </w14:textFill>
        </w:rPr>
      </w:pPr>
      <w:r>
        <w:rPr>
          <w:rFonts w:hint="eastAsia" w:ascii="宋体" w:hAnsi="宋体" w:cs="宋体"/>
          <w:bCs/>
          <w:color w:val="000000" w:themeColor="text1"/>
          <w:sz w:val="28"/>
          <w:szCs w:val="28"/>
          <w14:textFill>
            <w14:solidFill>
              <w14:schemeClr w14:val="tx1"/>
            </w14:solidFill>
          </w14:textFill>
        </w:rPr>
        <w:t>完善大运河宿州段文化保护传承利用工作协调机制，统一指导和统筹协调规划的组织实施，审议重大政策、重大问题和年度工作安排，协调跨地区跨部门重大事项，督促检查重要工作落实情况。各有关县区政府是推进大运河文化保护传承利用的主体，要切实承担主体责任，精准把握方向定位，整合优化各类资源，突出大运河特点和宿州特色，明确工作路径，细化工作步骤，扎实推进各项任务落到实处。市直相关部门要充分发挥指导和协调作用，按照职能分工，完善配套政策，强化沟通协调，及时解决工作中存在的问题，确保各项任务落地并取得实效。</w:t>
      </w:r>
    </w:p>
    <w:p>
      <w:pPr>
        <w:pStyle w:val="4"/>
        <w:spacing w:before="312" w:after="312"/>
      </w:pPr>
      <w:bookmarkStart w:id="205" w:name="_Toc84536569"/>
      <w:r>
        <w:rPr>
          <w:rFonts w:hint="eastAsia" w:eastAsiaTheme="minorEastAsia"/>
        </w:rPr>
        <w:t>8</w:t>
      </w:r>
      <w:r>
        <w:rPr>
          <w:rFonts w:hint="eastAsia"/>
        </w:rPr>
        <w:t xml:space="preserve">.2 </w:t>
      </w:r>
      <w:r>
        <w:rPr>
          <w:rFonts w:hint="eastAsia" w:asciiTheme="minorEastAsia" w:hAnsiTheme="minorEastAsia" w:eastAsiaTheme="minorEastAsia"/>
        </w:rPr>
        <w:t>制度保障</w:t>
      </w:r>
      <w:bookmarkEnd w:id="205"/>
    </w:p>
    <w:p>
      <w:pPr>
        <w:spacing w:line="360" w:lineRule="auto"/>
        <w:ind w:firstLine="560" w:firstLineChars="200"/>
        <w:rPr>
          <w:rFonts w:eastAsiaTheme="minorEastAsia"/>
          <w:sz w:val="28"/>
          <w:szCs w:val="28"/>
        </w:rPr>
      </w:pPr>
      <w:r>
        <w:rPr>
          <w:rFonts w:eastAsiaTheme="minorEastAsia"/>
          <w:sz w:val="28"/>
          <w:szCs w:val="28"/>
        </w:rPr>
        <w:t>加强制度建设，通过建立</w:t>
      </w:r>
      <w:r>
        <w:rPr>
          <w:rFonts w:hint="eastAsia" w:eastAsiaTheme="minorEastAsia"/>
          <w:sz w:val="28"/>
          <w:szCs w:val="28"/>
        </w:rPr>
        <w:t>大运河宿州段</w:t>
      </w:r>
      <w:r>
        <w:rPr>
          <w:rFonts w:eastAsiaTheme="minorEastAsia"/>
          <w:sz w:val="28"/>
          <w:szCs w:val="28"/>
        </w:rPr>
        <w:t>生态环境保护的组织协调保障机制、目标责任制和考核机制，监督、巡查制度等形成规范化的管理制度保障。</w:t>
      </w:r>
    </w:p>
    <w:p>
      <w:pPr>
        <w:spacing w:line="360" w:lineRule="auto"/>
        <w:ind w:firstLine="562" w:firstLineChars="200"/>
        <w:rPr>
          <w:rFonts w:eastAsiaTheme="minorEastAsia"/>
          <w:b/>
          <w:sz w:val="28"/>
          <w:szCs w:val="28"/>
        </w:rPr>
      </w:pPr>
      <w:r>
        <w:rPr>
          <w:rFonts w:eastAsiaTheme="minorEastAsia"/>
          <w:b/>
          <w:sz w:val="28"/>
          <w:szCs w:val="28"/>
        </w:rPr>
        <w:t>（</w:t>
      </w:r>
      <w:r>
        <w:rPr>
          <w:rFonts w:hint="eastAsia" w:eastAsiaTheme="minorEastAsia"/>
          <w:b/>
          <w:sz w:val="28"/>
          <w:szCs w:val="28"/>
        </w:rPr>
        <w:t>1</w:t>
      </w:r>
      <w:r>
        <w:rPr>
          <w:rFonts w:eastAsiaTheme="minorEastAsia"/>
          <w:b/>
          <w:sz w:val="28"/>
          <w:szCs w:val="28"/>
        </w:rPr>
        <w:t>）建立河流管理长效机制</w:t>
      </w:r>
    </w:p>
    <w:p>
      <w:pPr>
        <w:spacing w:line="360" w:lineRule="auto"/>
        <w:ind w:firstLine="560" w:firstLineChars="200"/>
        <w:rPr>
          <w:rFonts w:eastAsiaTheme="minorEastAsia"/>
          <w:sz w:val="28"/>
          <w:szCs w:val="28"/>
        </w:rPr>
      </w:pPr>
      <w:r>
        <w:rPr>
          <w:rFonts w:eastAsiaTheme="minorEastAsia"/>
          <w:sz w:val="28"/>
          <w:szCs w:val="28"/>
        </w:rPr>
        <w:t>建立河流管理长效机制，明确管理单位、落实责任、建立奖惩制度。周边施工及作业应由施工单位承诺保护好河流水质和景观，不能向河流倾倒建筑垃圾，不能向河流内排放施工废水及生活污水，不能破坏相应河流已建设好的景观设施等，并由河流管理主体监督管理，对违规单位进行制止和处罚。保护区范围内应严格执行河流流域保护制度，结合相关政策，调整农业结构，减小营养物质的随意排放。</w:t>
      </w:r>
    </w:p>
    <w:p>
      <w:pPr>
        <w:spacing w:line="360" w:lineRule="auto"/>
        <w:ind w:firstLine="562" w:firstLineChars="200"/>
        <w:rPr>
          <w:rFonts w:eastAsiaTheme="minorEastAsia"/>
          <w:b/>
          <w:sz w:val="28"/>
          <w:szCs w:val="28"/>
        </w:rPr>
      </w:pPr>
      <w:r>
        <w:rPr>
          <w:rFonts w:eastAsiaTheme="minorEastAsia"/>
          <w:b/>
          <w:sz w:val="28"/>
          <w:szCs w:val="28"/>
        </w:rPr>
        <w:t>（</w:t>
      </w:r>
      <w:r>
        <w:rPr>
          <w:rFonts w:hint="eastAsia" w:eastAsiaTheme="minorEastAsia"/>
          <w:b/>
          <w:sz w:val="28"/>
          <w:szCs w:val="28"/>
        </w:rPr>
        <w:t>2</w:t>
      </w:r>
      <w:r>
        <w:rPr>
          <w:rFonts w:eastAsiaTheme="minorEastAsia"/>
          <w:b/>
          <w:sz w:val="28"/>
          <w:szCs w:val="28"/>
        </w:rPr>
        <w:t>）建立目标责任制和考核机制</w:t>
      </w:r>
    </w:p>
    <w:p>
      <w:pPr>
        <w:spacing w:line="360" w:lineRule="auto"/>
        <w:ind w:firstLine="560" w:firstLineChars="200"/>
        <w:rPr>
          <w:rFonts w:eastAsiaTheme="minorEastAsia"/>
          <w:sz w:val="28"/>
          <w:szCs w:val="28"/>
        </w:rPr>
      </w:pPr>
      <w:r>
        <w:rPr>
          <w:rFonts w:eastAsiaTheme="minorEastAsia"/>
          <w:sz w:val="28"/>
          <w:szCs w:val="28"/>
        </w:rPr>
        <w:t>按照</w:t>
      </w:r>
      <w:r>
        <w:rPr>
          <w:rFonts w:hint="eastAsia" w:eastAsiaTheme="minorEastAsia"/>
          <w:sz w:val="28"/>
          <w:szCs w:val="28"/>
        </w:rPr>
        <w:t>“</w:t>
      </w:r>
      <w:r>
        <w:rPr>
          <w:rFonts w:eastAsiaTheme="minorEastAsia"/>
          <w:sz w:val="28"/>
          <w:szCs w:val="28"/>
        </w:rPr>
        <w:t>目标细化、责任落实、分工协作、齐抓共管、注重实效、逐步提高、全面完成</w:t>
      </w:r>
      <w:r>
        <w:rPr>
          <w:rFonts w:hint="eastAsia" w:eastAsiaTheme="minorEastAsia"/>
          <w:sz w:val="28"/>
          <w:szCs w:val="28"/>
        </w:rPr>
        <w:t>”</w:t>
      </w:r>
      <w:r>
        <w:rPr>
          <w:rFonts w:eastAsiaTheme="minorEastAsia"/>
          <w:sz w:val="28"/>
          <w:szCs w:val="28"/>
        </w:rPr>
        <w:t>的原则，建立目标责任制和绩效考核机制。目标任务、工程项目逐项分解、层层落实到具体实施部门和单位，责任落实到人，逐级签订目标责任书，将</w:t>
      </w:r>
      <w:r>
        <w:rPr>
          <w:rFonts w:hint="eastAsia" w:eastAsiaTheme="minorEastAsia"/>
          <w:sz w:val="28"/>
          <w:szCs w:val="28"/>
        </w:rPr>
        <w:t>大运河宿州段</w:t>
      </w:r>
      <w:r>
        <w:rPr>
          <w:rFonts w:eastAsiaTheme="minorEastAsia"/>
          <w:sz w:val="28"/>
          <w:szCs w:val="28"/>
        </w:rPr>
        <w:t>生态环境保护目标指标、工作任务和工程项目完成情况纳入政府、相关部门领导干部政绩考核的内容进行年度考核，对责任不落实、完不成目标任务的，启动行政问责制；对成绩突出的，给予一定的奖励。</w:t>
      </w:r>
    </w:p>
    <w:p>
      <w:pPr>
        <w:spacing w:line="360" w:lineRule="auto"/>
        <w:ind w:firstLine="562" w:firstLineChars="200"/>
        <w:rPr>
          <w:rFonts w:eastAsiaTheme="minorEastAsia"/>
          <w:b/>
          <w:sz w:val="28"/>
          <w:szCs w:val="28"/>
        </w:rPr>
      </w:pPr>
      <w:r>
        <w:rPr>
          <w:rFonts w:eastAsiaTheme="minorEastAsia"/>
          <w:b/>
          <w:sz w:val="28"/>
          <w:szCs w:val="28"/>
        </w:rPr>
        <w:t>（</w:t>
      </w:r>
      <w:r>
        <w:rPr>
          <w:rFonts w:hint="eastAsia" w:eastAsiaTheme="minorEastAsia"/>
          <w:b/>
          <w:sz w:val="28"/>
          <w:szCs w:val="28"/>
        </w:rPr>
        <w:t>3</w:t>
      </w:r>
      <w:r>
        <w:rPr>
          <w:rFonts w:eastAsiaTheme="minorEastAsia"/>
          <w:b/>
          <w:sz w:val="28"/>
          <w:szCs w:val="28"/>
        </w:rPr>
        <w:t>）建立监督、巡查制度</w:t>
      </w:r>
    </w:p>
    <w:p>
      <w:pPr>
        <w:spacing w:line="360" w:lineRule="auto"/>
        <w:ind w:firstLine="560" w:firstLineChars="200"/>
        <w:rPr>
          <w:rFonts w:eastAsiaTheme="minorEastAsia"/>
          <w:sz w:val="28"/>
          <w:szCs w:val="28"/>
        </w:rPr>
      </w:pPr>
      <w:r>
        <w:rPr>
          <w:rFonts w:eastAsiaTheme="minorEastAsia"/>
          <w:sz w:val="28"/>
          <w:szCs w:val="28"/>
        </w:rPr>
        <w:t>河流管理主体、相关镇街政府应加大督查、督办力度，对方案落实情况定期开展检查，加强对污染防治项目和生态建设项目完成情况的检查及环境纠纷的处理等，并对进展缓慢项目或重特大问题开展督办，确保目标任务如期完成。按照实施方案项目计划表，定期编制项目进度简报，填报项目调度表，汇总阶段性成果，向河流整治领导小组办公室上报。在治理工程实施过程中，开展环境监理，确保工程质量。</w:t>
      </w:r>
    </w:p>
    <w:p>
      <w:pPr>
        <w:spacing w:line="360" w:lineRule="auto"/>
        <w:ind w:firstLine="560" w:firstLineChars="200"/>
        <w:rPr>
          <w:rFonts w:eastAsiaTheme="minorEastAsia"/>
          <w:sz w:val="28"/>
          <w:szCs w:val="28"/>
        </w:rPr>
      </w:pPr>
      <w:r>
        <w:rPr>
          <w:rFonts w:eastAsiaTheme="minorEastAsia"/>
          <w:sz w:val="28"/>
          <w:szCs w:val="28"/>
        </w:rPr>
        <w:t>建立河流巡查制度。河流管理主体定期对河流周边污染排放情况和水质变化情况每月巡查一次，填写巡查记录表，建立管理台账。对河流周边出现偷排、漏排问题后及时上报环境保护部门，由环境保护部门对相关责任人和单位进行处罚和责令整改，对环境治理不到位的，要依法追究其法律责任。发现管道破裂，流出污染物的，对责任主体应给予及时告知，并下达整改通知，整改不到位的也应及时上报环境保护部门，由环境保护部门对相关责任人和单位进行处罚、追责；制止河岸随意种植、养殖、钓鱼、向河流内倾倒垃圾、污水等人为因素对水库造成污染的行为。</w:t>
      </w:r>
    </w:p>
    <w:p>
      <w:pPr>
        <w:spacing w:line="360" w:lineRule="auto"/>
        <w:ind w:firstLine="562" w:firstLineChars="200"/>
        <w:rPr>
          <w:rFonts w:eastAsiaTheme="minorEastAsia"/>
          <w:b/>
          <w:sz w:val="28"/>
          <w:szCs w:val="28"/>
        </w:rPr>
      </w:pPr>
      <w:r>
        <w:rPr>
          <w:rFonts w:eastAsiaTheme="minorEastAsia"/>
          <w:b/>
          <w:sz w:val="28"/>
          <w:szCs w:val="28"/>
        </w:rPr>
        <w:t>（</w:t>
      </w:r>
      <w:r>
        <w:rPr>
          <w:rFonts w:hint="eastAsia" w:eastAsiaTheme="minorEastAsia"/>
          <w:b/>
          <w:sz w:val="28"/>
          <w:szCs w:val="28"/>
        </w:rPr>
        <w:t>4</w:t>
      </w:r>
      <w:r>
        <w:rPr>
          <w:rFonts w:eastAsiaTheme="minorEastAsia"/>
          <w:b/>
          <w:sz w:val="28"/>
          <w:szCs w:val="28"/>
        </w:rPr>
        <w:t>）强化绩效</w:t>
      </w:r>
      <w:r>
        <w:rPr>
          <w:rFonts w:hint="eastAsia" w:eastAsiaTheme="minorEastAsia"/>
          <w:b/>
          <w:sz w:val="28"/>
          <w:szCs w:val="28"/>
        </w:rPr>
        <w:t>管理</w:t>
      </w:r>
    </w:p>
    <w:p>
      <w:pPr>
        <w:spacing w:line="360" w:lineRule="auto"/>
        <w:ind w:firstLine="560" w:firstLineChars="200"/>
        <w:rPr>
          <w:rFonts w:eastAsiaTheme="minorEastAsia"/>
          <w:sz w:val="28"/>
          <w:szCs w:val="28"/>
        </w:rPr>
      </w:pPr>
      <w:r>
        <w:rPr>
          <w:rFonts w:eastAsiaTheme="minorEastAsia"/>
          <w:sz w:val="28"/>
          <w:szCs w:val="28"/>
        </w:rPr>
        <w:t>在河流生态环境保护工作中，要突出绩效管理。发改、财政和环保部门共同制订绩效评价办法和标准，对项目投入、实施、产出、效益等进行全面、客观的评价。项目绩效评价采用项目承担单位自评与技术支持单位绩效评价相结合的方式，项目承担单位收集和整理项目绩效评价基础资料，从实施方案、竣工验收材料、监测报告、运行记录、财务报告等资料中获取绩效评价基础数据，对照绩效评价主要内容，完成项目成效、存在问题的自我评定；技术支持单位对项目承担单位提交的自评报告进行核实与分析，开展现场调查，对照竣工验收监测报告、监督性监测数据等核实实施效果，编写绩效评价报告，上报市级环保、财政和发改部门。市级环保、财政和发改部门对绩效评价技术支持单位的绩效评价结果进行审定，编写绩效评价工作总结报告，并在一定范围内公布绩效评价结果，作为下一年度安排环保专项资金的重要依据。</w:t>
      </w:r>
    </w:p>
    <w:p>
      <w:pPr>
        <w:spacing w:line="360" w:lineRule="auto"/>
        <w:ind w:firstLine="562" w:firstLineChars="200"/>
        <w:rPr>
          <w:rFonts w:eastAsiaTheme="minorEastAsia"/>
          <w:b/>
          <w:sz w:val="28"/>
          <w:szCs w:val="28"/>
        </w:rPr>
      </w:pPr>
      <w:r>
        <w:rPr>
          <w:rFonts w:eastAsiaTheme="minorEastAsia"/>
          <w:b/>
          <w:sz w:val="28"/>
          <w:szCs w:val="28"/>
        </w:rPr>
        <w:t>（</w:t>
      </w:r>
      <w:r>
        <w:rPr>
          <w:rFonts w:hint="eastAsia" w:eastAsiaTheme="minorEastAsia"/>
          <w:b/>
          <w:sz w:val="28"/>
          <w:szCs w:val="28"/>
        </w:rPr>
        <w:t>5</w:t>
      </w:r>
      <w:r>
        <w:rPr>
          <w:rFonts w:eastAsiaTheme="minorEastAsia"/>
          <w:b/>
          <w:sz w:val="28"/>
          <w:szCs w:val="28"/>
        </w:rPr>
        <w:t>）建立环境监管和预警体系</w:t>
      </w:r>
    </w:p>
    <w:p>
      <w:pPr>
        <w:spacing w:line="360" w:lineRule="auto"/>
        <w:ind w:firstLine="560" w:firstLineChars="200"/>
        <w:rPr>
          <w:rFonts w:eastAsiaTheme="minorEastAsia"/>
          <w:sz w:val="28"/>
          <w:szCs w:val="28"/>
        </w:rPr>
      </w:pPr>
      <w:r>
        <w:rPr>
          <w:rFonts w:eastAsiaTheme="minorEastAsia"/>
          <w:sz w:val="28"/>
          <w:szCs w:val="28"/>
        </w:rPr>
        <w:t>开展生态环境监测能力建设，完成河流水质监测系统、水生态监测、水质监测船、水质快速监测设备、河道执法和突击监察以及调查取证现代化、科技化建设所需的硬件设施配套建设，提高环境监管硬实力；进一步优化环境监测网络；落实水环境监测专项经费，加强水质监测，加大对各主要入河排污口和控制断面的水质水情监测力度，必要时加密监测频次。通过对各项指标的监督监测，掌握水环境治理与保护方案的各项工程的进展与效果情况，各职能部门在各专业领域还要对项目实施效果进行监督与评价。依托环境监测管理体系，制定水环境保护预警和应急预案，增强流域环境应急能力水平。</w:t>
      </w:r>
    </w:p>
    <w:p>
      <w:pPr>
        <w:spacing w:line="360" w:lineRule="auto"/>
        <w:ind w:firstLine="562" w:firstLineChars="200"/>
        <w:rPr>
          <w:rFonts w:eastAsiaTheme="minorEastAsia"/>
          <w:b/>
          <w:sz w:val="28"/>
          <w:szCs w:val="28"/>
        </w:rPr>
      </w:pPr>
      <w:r>
        <w:rPr>
          <w:rFonts w:eastAsiaTheme="minorEastAsia"/>
          <w:b/>
          <w:sz w:val="28"/>
          <w:szCs w:val="28"/>
        </w:rPr>
        <w:t>（</w:t>
      </w:r>
      <w:r>
        <w:rPr>
          <w:rFonts w:hint="eastAsia" w:eastAsiaTheme="minorEastAsia"/>
          <w:b/>
          <w:sz w:val="28"/>
          <w:szCs w:val="28"/>
        </w:rPr>
        <w:t>6</w:t>
      </w:r>
      <w:r>
        <w:rPr>
          <w:rFonts w:eastAsiaTheme="minorEastAsia"/>
          <w:b/>
          <w:sz w:val="28"/>
          <w:szCs w:val="28"/>
        </w:rPr>
        <w:t>）建立运营管理制度</w:t>
      </w:r>
    </w:p>
    <w:p>
      <w:pPr>
        <w:spacing w:line="360" w:lineRule="auto"/>
        <w:ind w:firstLine="560" w:firstLineChars="200"/>
        <w:rPr>
          <w:rFonts w:eastAsiaTheme="minorEastAsia"/>
          <w:sz w:val="28"/>
          <w:szCs w:val="28"/>
        </w:rPr>
      </w:pPr>
      <w:r>
        <w:rPr>
          <w:rFonts w:hint="eastAsia" w:eastAsiaTheme="minorEastAsia"/>
          <w:sz w:val="28"/>
          <w:szCs w:val="28"/>
        </w:rPr>
        <w:t>泗县</w:t>
      </w:r>
      <w:r>
        <w:rPr>
          <w:rFonts w:eastAsiaTheme="minorEastAsia"/>
          <w:sz w:val="28"/>
          <w:szCs w:val="28"/>
        </w:rPr>
        <w:t>政府建立</w:t>
      </w:r>
      <w:r>
        <w:rPr>
          <w:rFonts w:hint="eastAsia" w:eastAsiaTheme="minorEastAsia"/>
          <w:sz w:val="28"/>
          <w:szCs w:val="28"/>
        </w:rPr>
        <w:t>“</w:t>
      </w:r>
      <w:r>
        <w:rPr>
          <w:rFonts w:eastAsiaTheme="minorEastAsia"/>
          <w:sz w:val="28"/>
          <w:szCs w:val="28"/>
        </w:rPr>
        <w:t>制订—实施—评价—反馈—调整—改进—再反馈</w:t>
      </w:r>
      <w:r>
        <w:rPr>
          <w:rFonts w:hint="eastAsia" w:eastAsiaTheme="minorEastAsia"/>
          <w:sz w:val="28"/>
          <w:szCs w:val="28"/>
        </w:rPr>
        <w:t>”</w:t>
      </w:r>
      <w:r>
        <w:rPr>
          <w:rFonts w:eastAsiaTheme="minorEastAsia"/>
          <w:sz w:val="28"/>
          <w:szCs w:val="28"/>
        </w:rPr>
        <w:t>的方案响应机制和环境工程监理机制。相关责任部门应随时掌握方案实施背景、工程进度、效果情况以及公众对于方案的意见与建议，对于环境工程监理发现的问题和方案实施中出现的问题及时进行调整、改进，并再反馈给公众；定期对实施方案的项目开展可行性进行讨论与必要的修改。</w:t>
      </w:r>
    </w:p>
    <w:p>
      <w:pPr>
        <w:pStyle w:val="4"/>
        <w:spacing w:before="312" w:after="312"/>
      </w:pPr>
      <w:bookmarkStart w:id="206" w:name="_Toc84536570"/>
      <w:r>
        <w:rPr>
          <w:rFonts w:hint="eastAsia" w:eastAsiaTheme="minorEastAsia"/>
        </w:rPr>
        <w:t>8</w:t>
      </w:r>
      <w:r>
        <w:rPr>
          <w:rFonts w:hint="eastAsia"/>
        </w:rPr>
        <w:t xml:space="preserve">.3 </w:t>
      </w:r>
      <w:r>
        <w:rPr>
          <w:rFonts w:hint="eastAsia" w:asciiTheme="minorEastAsia" w:hAnsiTheme="minorEastAsia" w:eastAsiaTheme="minorEastAsia"/>
        </w:rPr>
        <w:t>资金保障</w:t>
      </w:r>
      <w:bookmarkEnd w:id="206"/>
    </w:p>
    <w:p>
      <w:pPr>
        <w:autoSpaceDE w:val="0"/>
        <w:autoSpaceDN w:val="0"/>
        <w:adjustRightInd w:val="0"/>
        <w:spacing w:line="360" w:lineRule="auto"/>
        <w:ind w:firstLine="560" w:firstLineChars="200"/>
        <w:jc w:val="left"/>
        <w:rPr>
          <w:rFonts w:ascii="仿宋" w:eastAsia="仿宋" w:cs="仿宋"/>
          <w:kern w:val="0"/>
          <w:sz w:val="28"/>
          <w:szCs w:val="28"/>
        </w:rPr>
      </w:pPr>
      <w:r>
        <w:rPr>
          <w:rFonts w:hint="eastAsia"/>
          <w:color w:val="000000" w:themeColor="text1"/>
          <w:sz w:val="28"/>
          <w:szCs w:val="28"/>
          <w14:textFill>
            <w14:solidFill>
              <w14:schemeClr w14:val="tx1"/>
            </w14:solidFill>
          </w14:textFill>
        </w:rPr>
        <w:t>宿州市</w:t>
      </w:r>
      <w:r>
        <w:rPr>
          <w:color w:val="000000" w:themeColor="text1"/>
          <w:sz w:val="28"/>
          <w:szCs w:val="28"/>
          <w14:textFill>
            <w14:solidFill>
              <w14:schemeClr w14:val="tx1"/>
            </w14:solidFill>
          </w14:textFill>
        </w:rPr>
        <w:t>地方政府应加大管理制度建设与管理维护人员投入，落实</w:t>
      </w:r>
      <w:r>
        <w:rPr>
          <w:rFonts w:hint="eastAsia"/>
          <w:color w:val="000000" w:themeColor="text1"/>
          <w:sz w:val="28"/>
          <w:szCs w:val="28"/>
          <w14:textFill>
            <w14:solidFill>
              <w14:schemeClr w14:val="tx1"/>
            </w14:solidFill>
          </w14:textFill>
        </w:rPr>
        <w:t>大运河宿州段</w:t>
      </w:r>
      <w:r>
        <w:rPr>
          <w:color w:val="000000" w:themeColor="text1"/>
          <w:sz w:val="28"/>
          <w:szCs w:val="28"/>
          <w14:textFill>
            <w14:solidFill>
              <w14:schemeClr w14:val="tx1"/>
            </w14:solidFill>
          </w14:textFill>
        </w:rPr>
        <w:t>管理主体的人员及运行经费，确保已经建立的工作机构正常运行，保障项目后期正常运转。</w:t>
      </w:r>
      <w:r>
        <w:rPr>
          <w:rFonts w:hint="eastAsia"/>
          <w:color w:val="000000" w:themeColor="text1"/>
          <w:sz w:val="28"/>
          <w:szCs w:val="28"/>
          <w14:textFill>
            <w14:solidFill>
              <w14:schemeClr w14:val="tx1"/>
            </w14:solidFill>
          </w14:textFill>
        </w:rPr>
        <w:t>统筹利用各类项目资金，加大对大运河宿州段沿线保护传承工程、研究发掘工程、环境配套工程、文旅融合工程等领域重大任务和重点项目的投入力度。引导社会资金发挥作用，激发市场主体活力，完善多元投入机制。市政府各部门按照职能分工，积极支持大运河宿州段文化保护传承利用相关建设。有关县区要统筹安排好自有财力和中央补助资金，确保各项重大任务落实。</w:t>
      </w:r>
    </w:p>
    <w:p>
      <w:pPr>
        <w:pStyle w:val="4"/>
        <w:spacing w:before="312" w:after="312"/>
      </w:pPr>
      <w:bookmarkStart w:id="207" w:name="_Toc84536571"/>
      <w:r>
        <w:rPr>
          <w:rFonts w:hint="eastAsia" w:eastAsiaTheme="minorEastAsia"/>
        </w:rPr>
        <w:t>8</w:t>
      </w:r>
      <w:r>
        <w:rPr>
          <w:rFonts w:hint="eastAsia"/>
        </w:rPr>
        <w:t xml:space="preserve">.4 </w:t>
      </w:r>
      <w:r>
        <w:rPr>
          <w:rFonts w:hint="eastAsia" w:asciiTheme="minorEastAsia" w:hAnsiTheme="minorEastAsia" w:eastAsiaTheme="minorEastAsia"/>
        </w:rPr>
        <w:t>监督考核</w:t>
      </w:r>
      <w:bookmarkEnd w:id="207"/>
    </w:p>
    <w:p>
      <w:pPr>
        <w:spacing w:line="360" w:lineRule="auto"/>
        <w:ind w:firstLine="560" w:firstLineChars="200"/>
        <w:jc w:val="left"/>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t>严格考核问责。建立健全考核问责机制，考核结果作为地方党政领导干部综合考核评价的重要依据。</w:t>
      </w:r>
      <w:r>
        <w:rPr>
          <w:rFonts w:hint="eastAsia"/>
          <w:color w:val="000000" w:themeColor="text1"/>
          <w:sz w:val="28"/>
          <w:szCs w:val="28"/>
          <w14:textFill>
            <w14:solidFill>
              <w14:schemeClr w14:val="tx1"/>
            </w14:solidFill>
          </w14:textFill>
        </w:rPr>
        <w:t>定期对重点年度目标任务和重点项目进行跟踪评估，及时总结评估规划实施情况，对重点事项进行专项督导，发现重大问题及时报告。</w:t>
      </w:r>
      <w:r>
        <w:rPr>
          <w:color w:val="000000" w:themeColor="text1"/>
          <w:sz w:val="28"/>
          <w:szCs w:val="28"/>
          <w14:textFill>
            <w14:solidFill>
              <w14:schemeClr w14:val="tx1"/>
            </w14:solidFill>
          </w14:textFill>
        </w:rPr>
        <w:t>依法完善信息公开，通过互联网等形式定期公布</w:t>
      </w:r>
      <w:r>
        <w:rPr>
          <w:rFonts w:hint="eastAsia"/>
          <w:color w:val="000000" w:themeColor="text1"/>
          <w:sz w:val="28"/>
          <w:szCs w:val="28"/>
          <w14:textFill>
            <w14:solidFill>
              <w14:schemeClr w14:val="tx1"/>
            </w14:solidFill>
          </w14:textFill>
        </w:rPr>
        <w:t>大运河宿州段的</w:t>
      </w:r>
      <w:r>
        <w:rPr>
          <w:color w:val="000000" w:themeColor="text1"/>
          <w:sz w:val="28"/>
          <w:szCs w:val="28"/>
          <w14:textFill>
            <w14:solidFill>
              <w14:schemeClr w14:val="tx1"/>
            </w14:solidFill>
          </w14:textFill>
        </w:rPr>
        <w:t>水质信息。加强</w:t>
      </w:r>
      <w:r>
        <w:rPr>
          <w:rFonts w:hint="eastAsia"/>
          <w:color w:val="000000" w:themeColor="text1"/>
          <w:sz w:val="28"/>
          <w:szCs w:val="28"/>
          <w14:textFill>
            <w14:solidFill>
              <w14:schemeClr w14:val="tx1"/>
            </w14:solidFill>
          </w14:textFill>
        </w:rPr>
        <w:t>大运河宿州段流域</w:t>
      </w:r>
      <w:r>
        <w:rPr>
          <w:color w:val="000000" w:themeColor="text1"/>
          <w:sz w:val="28"/>
          <w:szCs w:val="28"/>
          <w14:textFill>
            <w14:solidFill>
              <w14:schemeClr w14:val="tx1"/>
            </w14:solidFill>
          </w14:textFill>
        </w:rPr>
        <w:t>重点排污单位排污信息公开，应依法向社会公开其产生的主要污染物名称、排放方式、排放浓度和总量、超标排放情况，以及污染防治设施的建设和运行情况，主动接受监督。</w:t>
      </w:r>
      <w:r>
        <w:rPr>
          <w:rFonts w:hint="eastAsia"/>
          <w:color w:val="000000" w:themeColor="text1"/>
          <w:sz w:val="28"/>
          <w:szCs w:val="28"/>
          <w14:textFill>
            <w14:solidFill>
              <w14:schemeClr w14:val="tx1"/>
            </w14:solidFill>
          </w14:textFill>
        </w:rPr>
        <w:t>各有关县区政府要健全监督检查工作机制，定期开展自查，及时反映重大进展、重大问题和意见建议。</w:t>
      </w:r>
    </w:p>
    <w:p>
      <w:pPr>
        <w:pStyle w:val="4"/>
        <w:spacing w:before="312" w:after="312"/>
        <w:rPr>
          <w:rFonts w:eastAsiaTheme="minorEastAsia"/>
        </w:rPr>
      </w:pPr>
      <w:bookmarkStart w:id="208" w:name="_Toc84536572"/>
      <w:r>
        <w:rPr>
          <w:rFonts w:hint="eastAsia" w:eastAsiaTheme="minorEastAsia"/>
        </w:rPr>
        <w:t>8.5 宣传保障</w:t>
      </w:r>
      <w:bookmarkEnd w:id="208"/>
    </w:p>
    <w:p>
      <w:pPr>
        <w:spacing w:line="360" w:lineRule="auto"/>
        <w:ind w:firstLine="560" w:firstLineChars="200"/>
        <w:jc w:val="left"/>
        <w:rPr>
          <w:color w:val="000000" w:themeColor="text1"/>
          <w:sz w:val="28"/>
          <w:szCs w:val="28"/>
          <w14:textFill>
            <w14:solidFill>
              <w14:schemeClr w14:val="tx1"/>
            </w14:solidFill>
          </w14:textFill>
        </w:rPr>
      </w:pPr>
      <w:r>
        <w:rPr>
          <w:rFonts w:hint="eastAsia"/>
          <w:color w:val="000000" w:themeColor="text1"/>
          <w:sz w:val="28"/>
          <w:szCs w:val="28"/>
          <w14:textFill>
            <w14:solidFill>
              <w14:schemeClr w14:val="tx1"/>
            </w14:solidFill>
          </w14:textFill>
        </w:rPr>
        <w:t>加强大运河保护传承利用的宣传，大力宣传大运河保护传承利用的重大意义、丰富内涵和进展成效，有针对性地开展监督，营造浓厚舆论氛围。统筹利用多种渠道，发挥各类行业协会、公益组织和各类合作组织作用，开展宣传推广，形成知名的大运河宿州段文化品牌。</w:t>
      </w:r>
    </w:p>
    <w:p>
      <w:pPr>
        <w:widowControl/>
        <w:jc w:val="left"/>
        <w:rPr>
          <w:color w:val="000000" w:themeColor="text1"/>
          <w:sz w:val="28"/>
          <w:szCs w:val="28"/>
          <w14:textFill>
            <w14:solidFill>
              <w14:schemeClr w14:val="tx1"/>
            </w14:solidFill>
          </w14:textFill>
        </w:rPr>
        <w:sectPr>
          <w:footerReference r:id="rId24" w:type="default"/>
          <w:pgSz w:w="11906" w:h="16838"/>
          <w:pgMar w:top="1440" w:right="1800" w:bottom="1440" w:left="1800" w:header="227" w:footer="1077" w:gutter="0"/>
          <w:cols w:space="425" w:num="1"/>
          <w:docGrid w:type="lines" w:linePitch="312" w:charSpace="0"/>
        </w:sectPr>
      </w:pPr>
    </w:p>
    <w:p>
      <w:pPr>
        <w:spacing w:line="360" w:lineRule="auto"/>
        <w:jc w:val="center"/>
        <w:rPr>
          <w:b/>
          <w:sz w:val="32"/>
          <w:szCs w:val="32"/>
        </w:rPr>
      </w:pPr>
    </w:p>
    <w:p>
      <w:pPr>
        <w:spacing w:line="360" w:lineRule="auto"/>
        <w:jc w:val="center"/>
        <w:rPr>
          <w:b/>
          <w:sz w:val="32"/>
          <w:szCs w:val="32"/>
        </w:rPr>
      </w:pPr>
    </w:p>
    <w:p>
      <w:pPr>
        <w:spacing w:line="720" w:lineRule="auto"/>
        <w:jc w:val="center"/>
        <w:rPr>
          <w:b/>
          <w:sz w:val="72"/>
          <w:szCs w:val="72"/>
        </w:rPr>
      </w:pPr>
      <w:r>
        <w:rPr>
          <w:rFonts w:hint="eastAsia"/>
          <w:b/>
          <w:sz w:val="72"/>
          <w:szCs w:val="72"/>
        </w:rPr>
        <w:t>大运河宿州段生态环境保护修复实施方案</w:t>
      </w:r>
    </w:p>
    <w:p>
      <w:pPr>
        <w:spacing w:line="720" w:lineRule="auto"/>
        <w:jc w:val="center"/>
        <w:rPr>
          <w:b/>
          <w:sz w:val="36"/>
          <w:szCs w:val="36"/>
        </w:rPr>
      </w:pPr>
    </w:p>
    <w:p>
      <w:pPr>
        <w:spacing w:line="720" w:lineRule="auto"/>
        <w:jc w:val="center"/>
        <w:rPr>
          <w:b/>
          <w:color w:val="000000" w:themeColor="text1"/>
          <w:sz w:val="84"/>
          <w:szCs w:val="84"/>
          <w14:textFill>
            <w14:solidFill>
              <w14:schemeClr w14:val="tx1"/>
            </w14:solidFill>
          </w14:textFill>
        </w:rPr>
      </w:pPr>
      <w:r>
        <w:rPr>
          <w:rFonts w:hint="eastAsia"/>
          <w:b/>
          <w:color w:val="000000" w:themeColor="text1"/>
          <w:sz w:val="84"/>
          <w:szCs w:val="84"/>
          <w14:textFill>
            <w14:solidFill>
              <w14:schemeClr w14:val="tx1"/>
            </w14:solidFill>
          </w14:textFill>
        </w:rPr>
        <w:t>附  图</w:t>
      </w:r>
    </w:p>
    <w:p>
      <w:pPr>
        <w:spacing w:line="360" w:lineRule="auto"/>
        <w:jc w:val="center"/>
        <w:rPr>
          <w:b/>
          <w:color w:val="000000" w:themeColor="text1"/>
          <w:sz w:val="28"/>
          <w:szCs w:val="28"/>
          <w14:textFill>
            <w14:solidFill>
              <w14:schemeClr w14:val="tx1"/>
            </w14:solidFill>
          </w14:textFill>
        </w:rPr>
      </w:pPr>
    </w:p>
    <w:p>
      <w:pPr>
        <w:spacing w:line="360" w:lineRule="auto"/>
        <w:jc w:val="center"/>
        <w:rPr>
          <w:b/>
          <w:color w:val="000000" w:themeColor="text1"/>
          <w:sz w:val="28"/>
          <w:szCs w:val="28"/>
          <w14:textFill>
            <w14:solidFill>
              <w14:schemeClr w14:val="tx1"/>
            </w14:solidFill>
          </w14:textFill>
        </w:rPr>
      </w:pPr>
    </w:p>
    <w:p>
      <w:pPr>
        <w:spacing w:line="360" w:lineRule="auto"/>
        <w:jc w:val="center"/>
        <w:rPr>
          <w:b/>
          <w:color w:val="000000" w:themeColor="text1"/>
          <w:sz w:val="28"/>
          <w:szCs w:val="28"/>
          <w14:textFill>
            <w14:solidFill>
              <w14:schemeClr w14:val="tx1"/>
            </w14:solidFill>
          </w14:textFill>
        </w:rPr>
      </w:pPr>
    </w:p>
    <w:p>
      <w:pPr>
        <w:spacing w:line="720" w:lineRule="auto"/>
        <w:jc w:val="center"/>
        <w:rPr>
          <w:b/>
          <w:sz w:val="44"/>
          <w:szCs w:val="44"/>
        </w:rPr>
      </w:pPr>
      <w:r>
        <w:rPr>
          <w:b/>
          <w:color w:val="000000" w:themeColor="text1"/>
          <w:sz w:val="44"/>
          <w:szCs w:val="44"/>
          <w14:textFill>
            <w14:solidFill>
              <w14:schemeClr w14:val="tx1"/>
            </w14:solidFill>
          </w14:textFill>
        </w:rPr>
        <w:br w:type="page"/>
      </w:r>
    </w:p>
    <w:p>
      <w:pPr>
        <w:spacing w:line="360" w:lineRule="auto"/>
        <w:jc w:val="left"/>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drawing>
          <wp:inline distT="0" distB="0" distL="0" distR="0">
            <wp:extent cx="8819515" cy="5111750"/>
            <wp:effectExtent l="0" t="0" r="63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referRelativeResize="0">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a:xfrm>
                      <a:off x="0" y="0"/>
                      <a:ext cx="8820000" cy="5112000"/>
                    </a:xfrm>
                    <a:prstGeom prst="rect">
                      <a:avLst/>
                    </a:prstGeom>
                    <a:noFill/>
                    <a:ln>
                      <a:noFill/>
                    </a:ln>
                  </pic:spPr>
                </pic:pic>
              </a:graphicData>
            </a:graphic>
          </wp:inline>
        </w:drawing>
      </w:r>
      <w:r>
        <w:rPr>
          <w:color w:val="000000" w:themeColor="text1"/>
          <w:sz w:val="28"/>
          <w:szCs w:val="28"/>
          <w14:textFill>
            <w14:solidFill>
              <w14:schemeClr w14:val="tx1"/>
            </w14:solidFill>
          </w14:textFill>
        </w:rPr>
        <w:drawing>
          <wp:inline distT="0" distB="0" distL="0" distR="0">
            <wp:extent cx="8795385" cy="5111750"/>
            <wp:effectExtent l="0" t="0" r="571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preferRelativeResize="0">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a:xfrm>
                      <a:off x="0" y="0"/>
                      <a:ext cx="8796000" cy="5112000"/>
                    </a:xfrm>
                    <a:prstGeom prst="rect">
                      <a:avLst/>
                    </a:prstGeom>
                    <a:noFill/>
                    <a:ln>
                      <a:noFill/>
                    </a:ln>
                  </pic:spPr>
                </pic:pic>
              </a:graphicData>
            </a:graphic>
          </wp:inline>
        </w:drawing>
      </w:r>
    </w:p>
    <w:p>
      <w:pPr>
        <w:spacing w:line="360" w:lineRule="auto"/>
        <w:jc w:val="left"/>
        <w:rPr>
          <w:color w:val="000000" w:themeColor="text1"/>
          <w:sz w:val="28"/>
          <w:szCs w:val="28"/>
          <w14:textFill>
            <w14:solidFill>
              <w14:schemeClr w14:val="tx1"/>
            </w14:solidFill>
          </w14:textFill>
        </w:rPr>
      </w:pPr>
      <w:r>
        <w:rPr>
          <w:color w:val="000000" w:themeColor="text1"/>
          <w:sz w:val="28"/>
          <w:szCs w:val="28"/>
          <w14:textFill>
            <w14:solidFill>
              <w14:schemeClr w14:val="tx1"/>
            </w14:solidFill>
          </w14:textFill>
        </w:rPr>
        <w:drawing>
          <wp:inline distT="0" distB="0" distL="0" distR="0">
            <wp:extent cx="8819515" cy="5183505"/>
            <wp:effectExtent l="0" t="0" r="635" b="0"/>
            <wp:docPr id="53" name="图片 53"/>
            <wp:cNvGraphicFramePr/>
            <a:graphic xmlns:a="http://schemas.openxmlformats.org/drawingml/2006/main">
              <a:graphicData uri="http://schemas.openxmlformats.org/drawingml/2006/picture">
                <pic:pic xmlns:pic="http://schemas.openxmlformats.org/drawingml/2006/picture">
                  <pic:nvPicPr>
                    <pic:cNvPr id="53" name="图片 53"/>
                    <pic:cNvPicPr preferRelativeResize="0"/>
                  </pic:nvPicPr>
                  <pic:blipFill>
                    <a:blip r:embed="rId65">
                      <a:extLst>
                        <a:ext uri="{28A0092B-C50C-407E-A947-70E740481C1C}">
                          <a14:useLocalDpi xmlns:a14="http://schemas.microsoft.com/office/drawing/2010/main" val="0"/>
                        </a:ext>
                      </a:extLst>
                    </a:blip>
                    <a:stretch>
                      <a:fillRect/>
                    </a:stretch>
                  </pic:blipFill>
                  <pic:spPr>
                    <a:xfrm>
                      <a:off x="0" y="0"/>
                      <a:ext cx="8820000" cy="5184000"/>
                    </a:xfrm>
                    <a:prstGeom prst="rect">
                      <a:avLst/>
                    </a:prstGeom>
                  </pic:spPr>
                </pic:pic>
              </a:graphicData>
            </a:graphic>
          </wp:inline>
        </w:drawing>
      </w:r>
    </w:p>
    <w:p>
      <w:pPr>
        <w:spacing w:line="360" w:lineRule="auto"/>
        <w:jc w:val="left"/>
        <w:rPr>
          <w:color w:val="000000" w:themeColor="text1"/>
          <w:sz w:val="28"/>
          <w:szCs w:val="28"/>
          <w14:textFill>
            <w14:solidFill>
              <w14:schemeClr w14:val="tx1"/>
            </w14:solidFill>
          </w14:textFill>
        </w:rPr>
      </w:pPr>
      <w:r>
        <w:rPr>
          <w:rFonts w:eastAsiaTheme="minorEastAsia"/>
          <w:sz w:val="28"/>
          <w:szCs w:val="28"/>
        </w:rPr>
        <w:drawing>
          <wp:inline distT="0" distB="0" distL="0" distR="0">
            <wp:extent cx="8819515" cy="4352290"/>
            <wp:effectExtent l="0" t="0" r="63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a:xfrm>
                      <a:off x="0" y="0"/>
                      <a:ext cx="8820000" cy="4352805"/>
                    </a:xfrm>
                    <a:prstGeom prst="rect">
                      <a:avLst/>
                    </a:prstGeom>
                    <a:noFill/>
                    <a:ln>
                      <a:noFill/>
                    </a:ln>
                  </pic:spPr>
                </pic:pic>
              </a:graphicData>
            </a:graphic>
          </wp:inline>
        </w:drawing>
      </w:r>
    </w:p>
    <w:p>
      <w:pPr>
        <w:pStyle w:val="2"/>
      </w:pPr>
    </w:p>
    <w:sectPr>
      <w:footerReference r:id="rId25" w:type="default"/>
      <w:pgSz w:w="16838" w:h="11906" w:orient="landscape"/>
      <w:pgMar w:top="1800" w:right="1440" w:bottom="1800" w:left="1440" w:header="567" w:footer="1417"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w:panose1 w:val="020B0604020202020204"/>
    <w:charset w:val="00"/>
    <w:family w:val="swiss"/>
    <w:pitch w:val="default"/>
    <w:sig w:usb0="E0002AFF" w:usb1="C0007843" w:usb2="00000009" w:usb3="00000000" w:csb0="400001FF" w:csb1="FFFF0000"/>
  </w:font>
  <w:font w:name="微软雅黑">
    <w:panose1 w:val="020B0503020204020204"/>
    <w:charset w:val="86"/>
    <w:family w:val="swiss"/>
    <w:pitch w:val="default"/>
    <w:sig w:usb0="80000287" w:usb1="280F3C52" w:usb2="00000016" w:usb3="00000000" w:csb0="0004001F" w:csb1="00000000"/>
  </w:font>
  <w:font w:name="Tahoma">
    <w:panose1 w:val="020B0604030504040204"/>
    <w:charset w:val="00"/>
    <w:family w:val="swiss"/>
    <w:pitch w:val="default"/>
    <w:sig w:usb0="E1002EFF" w:usb1="C000605B" w:usb2="00000029" w:usb3="00000000" w:csb0="200101FF" w:csb1="20280000"/>
  </w:font>
  <w:font w:name="Cambria">
    <w:panose1 w:val="02040503050406030204"/>
    <w:charset w:val="00"/>
    <w:family w:val="roman"/>
    <w:pitch w:val="default"/>
    <w:sig w:usb0="E00002FF" w:usb1="400004FF" w:usb2="00000000"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楷体_GB2312">
    <w:altName w:val="楷体"/>
    <w:panose1 w:val="00000000000000000000"/>
    <w:charset w:val="86"/>
    <w:family w:val="auto"/>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等线">
    <w:altName w:val="Arial Unicode MS"/>
    <w:panose1 w:val="00000000000000000000"/>
    <w:charset w:val="86"/>
    <w:family w:val="auto"/>
    <w:pitch w:val="default"/>
    <w:sig w:usb0="00000000" w:usb1="00000000" w:usb2="00000016" w:usb3="00000000" w:csb0="0004000F" w:csb1="00000000"/>
  </w:font>
  <w:font w:name="楷体">
    <w:panose1 w:val="02010609060101010101"/>
    <w:charset w:val="86"/>
    <w:family w:val="auto"/>
    <w:pitch w:val="default"/>
    <w:sig w:usb0="800002BF" w:usb1="38CF7CFA" w:usb2="00000016" w:usb3="00000000" w:csb0="00040001"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top w:val="single" w:color="auto" w:sz="4" w:space="0"/>
      </w:pBdr>
    </w:pPr>
    <w:r>
      <w:drawing>
        <wp:inline distT="0" distB="0" distL="114300" distR="114300">
          <wp:extent cx="1008380" cy="231140"/>
          <wp:effectExtent l="0" t="0" r="7620" b="10160"/>
          <wp:docPr id="40" name="图片 40" descr="安建大png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安建大png文件"/>
                  <pic:cNvPicPr>
                    <a:picLocks noChangeAspect="1"/>
                  </pic:cNvPicPr>
                </pic:nvPicPr>
                <pic:blipFill>
                  <a:blip r:embed="rId1"/>
                  <a:stretch>
                    <a:fillRect/>
                  </a:stretch>
                </pic:blipFill>
                <pic:spPr>
                  <a:xfrm>
                    <a:off x="0" y="0"/>
                    <a:ext cx="1008380" cy="231140"/>
                  </a:xfrm>
                  <a:prstGeom prst="rect">
                    <a:avLst/>
                  </a:prstGeom>
                </pic:spPr>
              </pic:pic>
            </a:graphicData>
          </a:graphic>
        </wp:inline>
      </w:drawing>
    </w:r>
    <w:r>
      <w:rPr>
        <w:rFonts w:hint="eastAsia"/>
      </w:rPr>
      <w:t xml:space="preserve">                                </w:t>
    </w:r>
    <w:r>
      <w:rPr>
        <w:rFonts w:hint="eastAsia"/>
        <w:sz w:val="21"/>
        <w:szCs w:val="21"/>
      </w:rP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top w:val="single" w:color="auto" w:sz="4" w:space="0"/>
      </w:pBdr>
    </w:pPr>
    <w:r>
      <mc:AlternateContent>
        <mc:Choice Requires="wps">
          <w:drawing>
            <wp:anchor distT="0" distB="0" distL="114300" distR="114300" simplePos="0" relativeHeight="251665408" behindDoc="0" locked="0" layoutInCell="1" allowOverlap="1">
              <wp:simplePos x="0" y="0"/>
              <wp:positionH relativeFrom="margin">
                <wp:posOffset>4410075</wp:posOffset>
              </wp:positionH>
              <wp:positionV relativeFrom="paragraph">
                <wp:posOffset>163830</wp:posOffset>
              </wp:positionV>
              <wp:extent cx="1828800" cy="1828800"/>
              <wp:effectExtent l="0" t="0" r="12065" b="12065"/>
              <wp:wrapNone/>
              <wp:docPr id="43" name="文本框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jc w:val="center"/>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29</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347.25pt;margin-top:12.9pt;height:144pt;width:144pt;mso-position-horizontal-relative:margin;mso-wrap-style:none;z-index:251665408;mso-width-relative:page;mso-height-relative:page;" filled="f" stroked="f" coordsize="21600,21600" o:gfxdata="UEsDBAoAAAAAAIdO4kAAAAAAAAAAAAAAAAAEAAAAZHJzL1BLAwQUAAAACACHTuJA6TbTGtgAAAAK&#10;AQAADwAAAGRycy9kb3ducmV2LnhtbE2Py07DMBBF90j8gzVI7KjzaKs0xKlERVgi0bBg6cZDEvAj&#10;st00/D3Dii5n5ujOudV+MZrN6MPorIB0lQBD2zk12l7Ae9s8FMBClFZJ7SwK+MEA+/r2ppKlchf7&#10;hvMx9oxCbCilgCHGqeQ8dAMaGVZuQku3T+eNjDT6nisvLxRuNM+SZMuNHC19GOSEhwG77+PZCDg0&#10;betnDF5/4EuTf70+rfF5EeL+Lk0egUVc4j8Mf/qkDjU5ndzZqsC0gO1uvSFUQLahCgTsiowWJwF5&#10;mhfA64pfV6h/AVBLAwQUAAAACACHTuJAA44OMxECAAAJBAAADgAAAGRycy9lMm9Eb2MueG1srVPN&#10;jtMwEL4j8Q6W7zRpF1ZV1XRVdlWEVLErFcTZdZwmkv9ku03KA8AbcOLCnefqc/DZabpolxPi4kxm&#10;xt/MfPN5ftMpSQ7C+cbogo5HOSVCc1M2elfQTx9Xr6aU+MB0yaTRoqBH4enN4uWLeWtnYmJqI0vh&#10;CEC0n7W2oHUIdpZlntdCMT8yVmgEK+MUC/h1u6x0rAW6ktkkz6+z1rjSOsOF9/De9UG6SPhVJXi4&#10;ryovApEFRW8hnS6d23hmizmb7RyzdcPPbbB/6EKxRqPoBeqOBUb2rnkGpRrujDdVGHGjMlNVDRdp&#10;Bkwzzp9Ms6mZFWkWkOPthSb//2D5h8ODI01Z0NdXlGimsKPT92+nH79OP78S+EBQa/0MeRuLzNC9&#10;NR0WPfg9nHHurnIqfjERQRxUHy/0ii4QHi9NJ9NpjhBHbPgBfvZ43Tof3gmjSDQK6rC/RCs7rH3o&#10;U4eUWE2bVSNl2qHUpC3o9dWbPF24RAAuNWrEIfpmoxW6bXeebGvKIwZzpteGt3zVoPia+fDAHMSA&#10;hiHwcI+jkgZFzNmipDbuy9/8MR87QpSSFuIqqIb6KZHvNXYXdTgYbjC2g6H36tZArWM8HMuTiQsu&#10;yMGsnFGfofplrIEQ0xyVChoG8zb0Aser4WK5TElQm2VhrTeWR+hInrfLfQCBiddISs/EmSvoLW3m&#10;/DaioP/8T1mPL3jx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Ok20xrYAAAACgEAAA8AAAAAAAAA&#10;AQAgAAAAIgAAAGRycy9kb3ducmV2LnhtbFBLAQIUABQAAAAIAIdO4kADjg4zEQIAAAkEAAAOAAAA&#10;AAAAAAEAIAAAACcBAABkcnMvZTJvRG9jLnhtbFBLBQYAAAAABgAGAFkBAACqBQAAAAA=&#10;">
              <v:fill on="f" focussize="0,0"/>
              <v:stroke on="f" weight="0.5pt"/>
              <v:imagedata o:title=""/>
              <o:lock v:ext="edit" aspectratio="f"/>
              <v:textbox inset="0mm,0mm,0mm,0mm" style="mso-fit-shape-to-text:t;">
                <w:txbxContent>
                  <w:p>
                    <w:pPr>
                      <w:pStyle w:val="18"/>
                      <w:jc w:val="center"/>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29</w:t>
                    </w:r>
                    <w:r>
                      <w:rPr>
                        <w:sz w:val="21"/>
                        <w:szCs w:val="21"/>
                      </w:rPr>
                      <w:fldChar w:fldCharType="end"/>
                    </w:r>
                  </w:p>
                </w:txbxContent>
              </v:textbox>
            </v:shape>
          </w:pict>
        </mc:Fallback>
      </mc:AlternateContent>
    </w:r>
    <w:r>
      <w:drawing>
        <wp:inline distT="0" distB="0" distL="114300" distR="114300">
          <wp:extent cx="1008380" cy="231140"/>
          <wp:effectExtent l="0" t="0" r="7620" b="10160"/>
          <wp:docPr id="54" name="图片 54" descr="安建大png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安建大png文件"/>
                  <pic:cNvPicPr>
                    <a:picLocks noChangeAspect="1"/>
                  </pic:cNvPicPr>
                </pic:nvPicPr>
                <pic:blipFill>
                  <a:blip r:embed="rId1"/>
                  <a:stretch>
                    <a:fillRect/>
                  </a:stretch>
                </pic:blipFill>
                <pic:spPr>
                  <a:xfrm>
                    <a:off x="0" y="0"/>
                    <a:ext cx="1008380" cy="231140"/>
                  </a:xfrm>
                  <a:prstGeom prst="rect">
                    <a:avLst/>
                  </a:prstGeom>
                </pic:spPr>
              </pic:pic>
            </a:graphicData>
          </a:graphic>
        </wp:inline>
      </w:drawing>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top w:val="single" w:color="auto" w:sz="4" w:space="0"/>
      </w:pBdr>
    </w:pPr>
    <w:r>
      <mc:AlternateContent>
        <mc:Choice Requires="wps">
          <w:drawing>
            <wp:anchor distT="0" distB="0" distL="114300" distR="114300" simplePos="0" relativeHeight="251671552" behindDoc="0" locked="0" layoutInCell="1" allowOverlap="1">
              <wp:simplePos x="0" y="0"/>
              <wp:positionH relativeFrom="margin">
                <wp:posOffset>2579370</wp:posOffset>
              </wp:positionH>
              <wp:positionV relativeFrom="paragraph">
                <wp:posOffset>71120</wp:posOffset>
              </wp:positionV>
              <wp:extent cx="1828800" cy="1828800"/>
              <wp:effectExtent l="0" t="0" r="12065" b="12065"/>
              <wp:wrapNone/>
              <wp:docPr id="66" name="文本框 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42</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203.1pt;margin-top:5.6pt;height:144pt;width:144pt;mso-position-horizontal-relative:margin;mso-wrap-style:none;z-index:251671552;mso-width-relative:page;mso-height-relative:page;" filled="f" stroked="f" coordsize="21600,21600" o:gfxdata="UEsDBAoAAAAAAIdO4kAAAAAAAAAAAAAAAAAEAAAAZHJzL1BLAwQUAAAACACHTuJA7v82ttcAAAAK&#10;AQAADwAAAGRycy9kb3ducmV2LnhtbE2PQU+EMBCF7yb+h2ZMvLktSIggZRM34tHEZQ8eu3QEdmlL&#10;2i6L/97xpKeZyXt5871qu5qJLejD6KyEZCOAoe2cHm0v4dA2D0/AQlRWq8lZlPCNAbb17U2lSu2u&#10;9gOXfewZhdhQKglDjHPJeegGNCps3IyWtC/njYp0+p5rr64UbiaeCpFzo0ZLHwY1427A7ry/GAm7&#10;pm39gsFPn/jWPJ7eXzJ8XaW8v0vEM7CIa/wzwy8+oUNNTEd3sTqwSUIm8pSsJCQ0yZAXGS1HCWlR&#10;pMDriv+vUP8AUEsDBBQAAAAIAIdO4kAlBIrCEAIAAAkEAAAOAAAAZHJzL2Uyb0RvYy54bWytU82O&#10;0zAQviPxDpbvNGkRVVU1XZVdFSFV7EoFcXYdp4nkP9luk/IA8AacuHDnufocfHaaLmL3hLg4k5nx&#10;zHzffF7cdEqSo3C+Mbqg41FOidDclI3eF/TTx/WrGSU+MF0yabQo6El4erN8+WLR2rmYmNrIUjiC&#10;ItrPW1vQOgQ7zzLPa6GYHxkrNIKVcYoF/Lp9VjrWorqS2STPp1lrXGmd4cJ7eO/6IF2m+lUleLiv&#10;Ki8CkQXFbCGdLp27eGbLBZvvHbN1wy9jsH+YQrFGo+m11B0LjBxc86SUargz3lRhxI3KTFU1XCQM&#10;QDPO/0KzrZkVCQvI8fZKk/9/ZfmH44MjTVnQ6ZQSzRR2dP7+7fzj1/nnVwIfCGqtnyNva5EZurem&#10;w6IHv4cz4u4qp+IXiAjioPp0pVd0gfB4aTaZzXKEOGLDD+pnj9et8+GdMIpEo6AO+0u0suPGhz51&#10;SIndtFk3UqYdSk1agHj9Jk8XrhEUlxo9Ioh+2GiFbtddkO1MeQIwZ3pteMvXDZpvmA8PzEEMGBgC&#10;D/c4KmnQxFwsSmrjvjznj/nYEaKUtBBXQTXUT4l8r7G7qMPBcIOxGwx9ULcGah3j4VieTFxwQQ5m&#10;5Yz6DNWvYg+EmOboVNAwmLehFzheDRerVUqC2iwLG721PJaO5Hm7OgQQmHiNpPRMXLiC3tJmLm8j&#10;CvrP/5T1+IKX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u/za21wAAAAoBAAAPAAAAAAAAAAEA&#10;IAAAACIAAABkcnMvZG93bnJldi54bWxQSwECFAAUAAAACACHTuJAJQSKwhACAAAJBAAADgAAAAAA&#10;AAABACAAAAAmAQAAZHJzL2Uyb0RvYy54bWxQSwUGAAAAAAYABgBZAQAAqAUAAAAA&#10;">
              <v:fill on="f" focussize="0,0"/>
              <v:stroke on="f" weight="0.5pt"/>
              <v:imagedata o:title=""/>
              <o:lock v:ext="edit" aspectratio="f"/>
              <v:textbox inset="0mm,0mm,0mm,0mm" style="mso-fit-shape-to-text:t;">
                <w:txbxContent>
                  <w:p>
                    <w:pPr>
                      <w:pStyle w:val="18"/>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42</w:t>
                    </w:r>
                    <w:r>
                      <w:rPr>
                        <w:sz w:val="21"/>
                        <w:szCs w:val="21"/>
                      </w:rPr>
                      <w:fldChar w:fldCharType="end"/>
                    </w:r>
                  </w:p>
                </w:txbxContent>
              </v:textbox>
            </v:shape>
          </w:pict>
        </mc:Fallback>
      </mc:AlternateContent>
    </w:r>
    <w:r>
      <w:drawing>
        <wp:inline distT="0" distB="0" distL="114300" distR="114300">
          <wp:extent cx="1008380" cy="231140"/>
          <wp:effectExtent l="0" t="0" r="7620" b="10160"/>
          <wp:docPr id="67" name="图片 67" descr="安建大png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安建大png文件"/>
                  <pic:cNvPicPr>
                    <a:picLocks noChangeAspect="1"/>
                  </pic:cNvPicPr>
                </pic:nvPicPr>
                <pic:blipFill>
                  <a:blip r:embed="rId1"/>
                  <a:stretch>
                    <a:fillRect/>
                  </a:stretch>
                </pic:blipFill>
                <pic:spPr>
                  <a:xfrm>
                    <a:off x="0" y="0"/>
                    <a:ext cx="1008380" cy="231140"/>
                  </a:xfrm>
                  <a:prstGeom prst="rect">
                    <a:avLst/>
                  </a:prstGeom>
                </pic:spPr>
              </pic:pic>
            </a:graphicData>
          </a:graphic>
        </wp:inline>
      </w:drawing>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top w:val="single" w:color="auto" w:sz="4" w:space="0"/>
      </w:pBdr>
    </w:pPr>
    <w:r>
      <mc:AlternateContent>
        <mc:Choice Requires="wps">
          <w:drawing>
            <wp:anchor distT="0" distB="0" distL="114300" distR="114300" simplePos="0" relativeHeight="251673600" behindDoc="0" locked="0" layoutInCell="1" allowOverlap="1">
              <wp:simplePos x="0" y="0"/>
              <wp:positionH relativeFrom="margin">
                <wp:posOffset>2595880</wp:posOffset>
              </wp:positionH>
              <wp:positionV relativeFrom="paragraph">
                <wp:posOffset>71120</wp:posOffset>
              </wp:positionV>
              <wp:extent cx="1828800" cy="1828800"/>
              <wp:effectExtent l="0" t="0" r="12065" b="12065"/>
              <wp:wrapNone/>
              <wp:docPr id="68" name="文本框 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43</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204.4pt;margin-top:5.6pt;height:144pt;width:144pt;mso-position-horizontal-relative:margin;mso-wrap-style:none;z-index:251673600;mso-width-relative:page;mso-height-relative:page;" filled="f" stroked="f" coordsize="21600,21600" o:gfxdata="UEsDBAoAAAAAAIdO4kAAAAAAAAAAAAAAAAAEAAAAZHJzL1BLAwQUAAAACACHTuJAO9csbdYAAAAK&#10;AQAADwAAAGRycy9kb3ducmV2LnhtbE2PzU7DMBCE70i8g7VI3KidUEVNiFOJinBEouHA0Y2XJOCf&#10;yHbT8PYsJzjOzmjm23q/WsMWDHHyTkK2EcDQ9V5PbpDw1rV3O2AxKaeV8Q4lfGOEfXN9VatK+4t7&#10;xeWYBkYlLlZKwpjSXHEe+xGtihs/oyPvwwerEskwcB3Uhcqt4bkQBbdqcrQwqhkPI/Zfx7OVcGi7&#10;LiwYg3nH5/b+8+Vxi0+rlLc3mXgAlnBNf2H4xSd0aIjp5M9OR2YkbMWO0BMZWQ6MAkVZ0OEkIS/L&#10;HHhT8/8vND9QSwMEFAAAAAgAh07iQBfIGfcPAgAACQQAAA4AAABkcnMvZTJvRG9jLnhtbK1TzY7T&#10;MBC+I/EOlu80aRGrqmq6KrsqQqrYlQri7DpOE8l/st0m5QHgDThx4c5z9Tn47CRdBJwQF2cyM56Z&#10;75vPy9tOSXISzjdGF3Q6ySkRmpuy0YeCfni/eTGnxAemSyaNFgU9C09vV8+fLVu7EDNTG1kKR1BE&#10;+0VrC1qHYBdZ5nktFPMTY4VGsDJOsYBfd8hKx1pUVzKb5flN1hpXWme48B7e+z5IV6l+VQkeHqrK&#10;i0BkQTFbSKdL5z6e2WrJFgfHbN3wYQz2D1Mo1mg0vZa6Z4GRo2v+KKUa7ow3VZhwozJTVQ0XCQPQ&#10;TPPf0OxqZkXCAnK8vdLk/19Z/u706EhTFvQGm9JMYUeXr18u335cvn8m8IGg1voF8nYWmaF7bTos&#10;evR7OCPurnIqfoGIIA6qz1d6RRcIj5fms/k8R4gjNv6gfvZ03Tof3gijSDQK6rC/RCs7bX3oU8eU&#10;2E2bTSNl2qHUpAWIl6/ydOEaQXGp0SOC6IeNVuj23YBsb8ozgDnTa8NbvmnQfMt8eGQOYsDAEHh4&#10;wFFJgyZmsCipjfv0N3/Mx44QpaSFuAqqoX5K5FuN3UUdjoYbjf1o6KO6M1DrFA/H8mTiggtyNCtn&#10;1Eeofh17IMQ0R6eChtG8C73A8Wq4WK9TEtRmWdjqneWxdCTP2/UxgMDEaySlZ2LgCnpLmxneRhT0&#10;r/8p6+kFr34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O9csbdYAAAAKAQAADwAAAAAAAAABACAA&#10;AAAiAAAAZHJzL2Rvd25yZXYueG1sUEsBAhQAFAAAAAgAh07iQBfIGfcPAgAACQQAAA4AAAAAAAAA&#10;AQAgAAAAJQEAAGRycy9lMm9Eb2MueG1sUEsFBgAAAAAGAAYAWQEAAKYFAAAAAA==&#10;">
              <v:fill on="f" focussize="0,0"/>
              <v:stroke on="f" weight="0.5pt"/>
              <v:imagedata o:title=""/>
              <o:lock v:ext="edit" aspectratio="f"/>
              <v:textbox inset="0mm,0mm,0mm,0mm" style="mso-fit-shape-to-text:t;">
                <w:txbxContent>
                  <w:p>
                    <w:pPr>
                      <w:pStyle w:val="18"/>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43</w:t>
                    </w:r>
                    <w:r>
                      <w:rPr>
                        <w:sz w:val="21"/>
                        <w:szCs w:val="21"/>
                      </w:rPr>
                      <w:fldChar w:fldCharType="end"/>
                    </w:r>
                  </w:p>
                </w:txbxContent>
              </v:textbox>
            </v:shape>
          </w:pict>
        </mc:Fallback>
      </mc:AlternateContent>
    </w:r>
    <w:r>
      <w:drawing>
        <wp:inline distT="0" distB="0" distL="114300" distR="114300">
          <wp:extent cx="1008380" cy="231140"/>
          <wp:effectExtent l="0" t="0" r="7620" b="10160"/>
          <wp:docPr id="69" name="图片 69" descr="安建大png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安建大png文件"/>
                  <pic:cNvPicPr>
                    <a:picLocks noChangeAspect="1"/>
                  </pic:cNvPicPr>
                </pic:nvPicPr>
                <pic:blipFill>
                  <a:blip r:embed="rId1"/>
                  <a:stretch>
                    <a:fillRect/>
                  </a:stretch>
                </pic:blipFill>
                <pic:spPr>
                  <a:xfrm>
                    <a:off x="0" y="0"/>
                    <a:ext cx="1008380" cy="231140"/>
                  </a:xfrm>
                  <a:prstGeom prst="rect">
                    <a:avLst/>
                  </a:prstGeom>
                </pic:spPr>
              </pic:pic>
            </a:graphicData>
          </a:graphic>
        </wp:inline>
      </w:drawing>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top w:val="single" w:color="auto" w:sz="4" w:space="0"/>
      </w:pBdr>
    </w:pPr>
    <w:r>
      <mc:AlternateContent>
        <mc:Choice Requires="wps">
          <w:drawing>
            <wp:anchor distT="0" distB="0" distL="114300" distR="114300" simplePos="0" relativeHeight="251687936" behindDoc="0" locked="0" layoutInCell="1" allowOverlap="1">
              <wp:simplePos x="0" y="0"/>
              <wp:positionH relativeFrom="margin">
                <wp:posOffset>4319905</wp:posOffset>
              </wp:positionH>
              <wp:positionV relativeFrom="paragraph">
                <wp:posOffset>73660</wp:posOffset>
              </wp:positionV>
              <wp:extent cx="1828800" cy="1828800"/>
              <wp:effectExtent l="0" t="0" r="12065" b="12065"/>
              <wp:wrapNone/>
              <wp:docPr id="82" name="文本框 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44</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340.15pt;margin-top:5.8pt;height:144pt;width:144pt;mso-position-horizontal-relative:margin;mso-wrap-style:none;z-index:251687936;mso-width-relative:page;mso-height-relative:page;" filled="f" stroked="f" coordsize="21600,21600" o:gfxdata="UEsDBAoAAAAAAIdO4kAAAAAAAAAAAAAAAAAEAAAAZHJzL1BLAwQUAAAACACHTuJALmzN5dYAAAAK&#10;AQAADwAAAGRycy9kb3ducmV2LnhtbE2Py07DMBBF90j8gzVI7KidFkVJiFOJirBEomHB0o2HJOBH&#10;ZLtp+HuGFSxn7tGdM/V+tYYtGOLknYRsI4Ch672e3CDhrWvvCmAxKaeV8Q4lfGOEfXN9VatK+4t7&#10;xeWYBkYlLlZKwpjSXHEe+xGtihs/o6PswwerEo1h4DqoC5Vbw7dC5NyqydGFUc14GLH/Op6thEPb&#10;dWHBGMw7Pre7z5fHe3xapby9ycQDsIRr+oPhV5/UoSGnkz87HZmRkBdiRygFWQ6MgDIvaHGSsC3L&#10;HHhT8/8vND9QSwMEFAAAAAgAh07iQIj2VNAQAgAACQQAAA4AAABkcnMvZTJvRG9jLnhtbK1TzY7T&#10;MBC+I/EOlu80aRGrqGq6KrsqQqrYlQri7DpOE8l/st0m5QHgDThx4c5z9Tn47DRdBJwQF2cyM/5m&#10;5pvPi9teSXIUzrdGl3Q6ySkRmpuq1fuSfni/flFQ4gPTFZNGi5KehKe3y+fPFp2di5lpjKyEIwDR&#10;ft7ZkjYh2HmWed4IxfzEWKERrI1TLODX7bPKsQ7oSmazPL/JOuMq6wwX3sN7PwTpMuHXteDhoa69&#10;CESWFL2FdLp07uKZLRdsvnfMNi2/tMH+oQvFWo2iV6h7Fhg5uPYPKNVyZ7ypw4QblZm6brlIM2Ca&#10;af7bNNuGWZFmATneXmny/w+Wvzs+OtJWJS1mlGimsKPz1y/nbz/O3z8T+EBQZ/0ceVuLzNC/Nj0W&#10;Pfo9nHHuvnYqfjERQRxUn670ij4QHi8Vs6LIEeKIjT/Az56uW+fDG2EUiUZJHfaXaGXHjQ9D6pgS&#10;q2mzbqVMO5SadCW9efkqTxeuEYBLjRpxiKHZaIV+118m25nqhMGcGbThLV+3KL5hPjwyBzGgYQg8&#10;POCopUERc7EoaYz79Dd/zMeOEKWkg7hKqqF+SuRbjd1FHY6GG43daOiDujNQ6xQPx/Jk4oILcjRr&#10;Z9RHqH4VayDENEelkobRvAuDwPFquFitUhLUZlnY6K3lETqS5+3qEEBg4jWSMjBx4Qp6S5u5vI0o&#10;6F//U9bTC17+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C5szeXWAAAACgEAAA8AAAAAAAAAAQAg&#10;AAAAIgAAAGRycy9kb3ducmV2LnhtbFBLAQIUABQAAAAIAIdO4kCI9lTQEAIAAAkEAAAOAAAAAAAA&#10;AAEAIAAAACUBAABkcnMvZTJvRG9jLnhtbFBLBQYAAAAABgAGAFkBAACnBQAAAAA=&#10;">
              <v:fill on="f" focussize="0,0"/>
              <v:stroke on="f" weight="0.5pt"/>
              <v:imagedata o:title=""/>
              <o:lock v:ext="edit" aspectratio="f"/>
              <v:textbox inset="0mm,0mm,0mm,0mm" style="mso-fit-shape-to-text:t;">
                <w:txbxContent>
                  <w:p>
                    <w:pPr>
                      <w:pStyle w:val="18"/>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44</w:t>
                    </w:r>
                    <w:r>
                      <w:rPr>
                        <w:sz w:val="21"/>
                        <w:szCs w:val="21"/>
                      </w:rPr>
                      <w:fldChar w:fldCharType="end"/>
                    </w:r>
                  </w:p>
                </w:txbxContent>
              </v:textbox>
            </v:shape>
          </w:pict>
        </mc:Fallback>
      </mc:AlternateContent>
    </w:r>
    <w:r>
      <w:drawing>
        <wp:inline distT="0" distB="0" distL="114300" distR="114300">
          <wp:extent cx="1008380" cy="231140"/>
          <wp:effectExtent l="0" t="0" r="7620" b="10160"/>
          <wp:docPr id="83" name="图片 83" descr="安建大png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安建大png文件"/>
                  <pic:cNvPicPr>
                    <a:picLocks noChangeAspect="1"/>
                  </pic:cNvPicPr>
                </pic:nvPicPr>
                <pic:blipFill>
                  <a:blip r:embed="rId1"/>
                  <a:stretch>
                    <a:fillRect/>
                  </a:stretch>
                </pic:blipFill>
                <pic:spPr>
                  <a:xfrm>
                    <a:off x="0" y="0"/>
                    <a:ext cx="1008380" cy="231140"/>
                  </a:xfrm>
                  <a:prstGeom prst="rect">
                    <a:avLst/>
                  </a:prstGeom>
                </pic:spPr>
              </pic:pic>
            </a:graphicData>
          </a:graphic>
        </wp:inline>
      </w:drawing>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top w:val="single" w:color="auto" w:sz="4" w:space="0"/>
      </w:pBdr>
    </w:pPr>
    <w:r>
      <mc:AlternateContent>
        <mc:Choice Requires="wps">
          <w:drawing>
            <wp:anchor distT="0" distB="0" distL="114300" distR="114300" simplePos="0" relativeHeight="251675648" behindDoc="0" locked="0" layoutInCell="1" allowOverlap="1">
              <wp:simplePos x="0" y="0"/>
              <wp:positionH relativeFrom="margin">
                <wp:posOffset>2595880</wp:posOffset>
              </wp:positionH>
              <wp:positionV relativeFrom="paragraph">
                <wp:posOffset>71120</wp:posOffset>
              </wp:positionV>
              <wp:extent cx="1828800" cy="1828800"/>
              <wp:effectExtent l="0" t="0" r="12065" b="12065"/>
              <wp:wrapNone/>
              <wp:docPr id="70" name="文本框 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75</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204.4pt;margin-top:5.6pt;height:144pt;width:144pt;mso-position-horizontal-relative:margin;mso-wrap-style:none;z-index:251675648;mso-width-relative:page;mso-height-relative:page;" filled="f" stroked="f" coordsize="21600,21600" o:gfxdata="UEsDBAoAAAAAAIdO4kAAAAAAAAAAAAAAAAAEAAAAZHJzL1BLAwQUAAAACACHTuJAO9csbdYAAAAK&#10;AQAADwAAAGRycy9kb3ducmV2LnhtbE2PzU7DMBCE70i8g7VI3KidUEVNiFOJinBEouHA0Y2XJOCf&#10;yHbT8PYsJzjOzmjm23q/WsMWDHHyTkK2EcDQ9V5PbpDw1rV3O2AxKaeV8Q4lfGOEfXN9VatK+4t7&#10;xeWYBkYlLlZKwpjSXHEe+xGtihs/oyPvwwerEskwcB3Uhcqt4bkQBbdqcrQwqhkPI/Zfx7OVcGi7&#10;LiwYg3nH5/b+8+Vxi0+rlLc3mXgAlnBNf2H4xSd0aIjp5M9OR2YkbMWO0BMZWQ6MAkVZ0OEkIS/L&#10;HHhT8/8vND9QSwMEFAAAAAgAh07iQAPXXUAQAgAACQQAAA4AAABkcnMvZTJvRG9jLnhtbK1TzY7T&#10;MBC+I/EOlu80aRFLVTVdlV0VIVXsSgVxdh2nieQ/2W6T8gDwBpy4cN/n6nPw2Wm6q4UT4uJMZsbf&#10;zHzzeX7dKUkOwvnG6IKORzklQnNTNnpX0M+fVq+mlPjAdMmk0aKgR+Hp9eLli3lrZ2JiaiNL4QhA&#10;tJ+1tqB1CHaWZZ7XQjE/MlZoBCvjFAv4dbusdKwFupLZJM+vsta40jrDhffw3vZBukj4VSV4uKsq&#10;LwKRBUVvIZ0undt4Zos5m+0cs3XDz22wf+hCsUaj6AXqlgVG9q75A0o13BlvqjDiRmWmqhou0gyY&#10;Zpw/m2ZTMyvSLCDH2wtN/v/B8o+He0easqBvQY9mCjs6/fh++vlw+vWNwAeCWutnyNtYZIbunemw&#10;6MHv4Yxzd5VT8YuJCOLAOl7oFV0gPF6aTqbTHCGO2PAD/OzxunU+vBdGkWgU1GF/iVZ2WPvQpw4p&#10;sZo2q0bKtEOpSVvQq9dv8nThEgG41KgRh+ibjVbott15sq0pjxjMmV4b3vJVg+Jr5sM9cxADGobA&#10;wx2OShoUMWeLktq4r3/zx3zsCFFKWoiroBrqp0R+0NgdAMNguMHYDobeqxsDtY7xcCxPJi64IAez&#10;ckZ9geqXsQZCTHNUKmgYzJvQCxyvhovlMiVBbZaFtd5YHqEjed4u9wEEJl4jKT0TZ66gt7SZ89uI&#10;gn76n7IeX/Di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DvXLG3WAAAACgEAAA8AAAAAAAAAAQAg&#10;AAAAIgAAAGRycy9kb3ducmV2LnhtbFBLAQIUABQAAAAIAIdO4kAD111AEAIAAAkEAAAOAAAAAAAA&#10;AAEAIAAAACUBAABkcnMvZTJvRG9jLnhtbFBLBQYAAAAABgAGAFkBAACnBQAAAAA=&#10;">
              <v:fill on="f" focussize="0,0"/>
              <v:stroke on="f" weight="0.5pt"/>
              <v:imagedata o:title=""/>
              <o:lock v:ext="edit" aspectratio="f"/>
              <v:textbox inset="0mm,0mm,0mm,0mm" style="mso-fit-shape-to-text:t;">
                <w:txbxContent>
                  <w:p>
                    <w:pPr>
                      <w:pStyle w:val="18"/>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75</w:t>
                    </w:r>
                    <w:r>
                      <w:rPr>
                        <w:sz w:val="21"/>
                        <w:szCs w:val="21"/>
                      </w:rPr>
                      <w:fldChar w:fldCharType="end"/>
                    </w:r>
                  </w:p>
                </w:txbxContent>
              </v:textbox>
            </v:shape>
          </w:pict>
        </mc:Fallback>
      </mc:AlternateContent>
    </w:r>
    <w:r>
      <w:drawing>
        <wp:inline distT="0" distB="0" distL="114300" distR="114300">
          <wp:extent cx="1008380" cy="231140"/>
          <wp:effectExtent l="0" t="0" r="7620" b="10160"/>
          <wp:docPr id="71" name="图片 71" descr="安建大png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安建大png文件"/>
                  <pic:cNvPicPr>
                    <a:picLocks noChangeAspect="1"/>
                  </pic:cNvPicPr>
                </pic:nvPicPr>
                <pic:blipFill>
                  <a:blip r:embed="rId1"/>
                  <a:stretch>
                    <a:fillRect/>
                  </a:stretch>
                </pic:blipFill>
                <pic:spPr>
                  <a:xfrm>
                    <a:off x="0" y="0"/>
                    <a:ext cx="1008380" cy="231140"/>
                  </a:xfrm>
                  <a:prstGeom prst="rect">
                    <a:avLst/>
                  </a:prstGeom>
                </pic:spPr>
              </pic:pic>
            </a:graphicData>
          </a:graphic>
        </wp:inline>
      </w:drawing>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top w:val="single" w:color="auto" w:sz="4" w:space="0"/>
      </w:pBdr>
    </w:pPr>
    <w:r>
      <mc:AlternateContent>
        <mc:Choice Requires="wps">
          <w:drawing>
            <wp:anchor distT="0" distB="0" distL="114300" distR="114300" simplePos="0" relativeHeight="251696128" behindDoc="0" locked="0" layoutInCell="1" allowOverlap="1">
              <wp:simplePos x="0" y="0"/>
              <wp:positionH relativeFrom="margin">
                <wp:posOffset>4338955</wp:posOffset>
              </wp:positionH>
              <wp:positionV relativeFrom="paragraph">
                <wp:posOffset>73660</wp:posOffset>
              </wp:positionV>
              <wp:extent cx="1828800" cy="1828800"/>
              <wp:effectExtent l="0" t="0" r="12065" b="12065"/>
              <wp:wrapNone/>
              <wp:docPr id="84" name="文本框 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78</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341.65pt;margin-top:5.8pt;height:144pt;width:144pt;mso-position-horizontal-relative:margin;mso-wrap-style:none;z-index:251696128;mso-width-relative:page;mso-height-relative:page;" filled="f" stroked="f" coordsize="21600,21600" o:gfxdata="UEsDBAoAAAAAAIdO4kAAAAAAAAAAAAAAAAAEAAAAZHJzL1BLAwQUAAAACACHTuJAFT8slNcAAAAK&#10;AQAADwAAAGRycy9kb3ducmV2LnhtbE2PTU+DQBCG7yb+h82YeLMLxWChLE1sxKOJxYPHLTsCdT/I&#10;7pbiv3c82ePM++SdZ6rdYjSb0YfRWQHpKgGGtnNqtL2Aj7Z52AALUVoltbMo4AcD7Orbm0qWyl3s&#10;O86H2DMqsaGUAoYYp5Lz0A1oZFi5CS1lX84bGWn0PVdeXqjcaL5OkpwbOVq6MMgJ9wN234ezEbBv&#10;2tbPGLz+xNcmO709P+LLIsT9XZpsgUVc4j8Mf/qkDjU5Hd3ZqsC0gHyTZYRSkObACCieUlocBayL&#10;IgdeV/z6hfoXUEsDBBQAAAAIAIdO4kA5Xc6KEQIAAAkEAAAOAAAAZHJzL2Uyb0RvYy54bWytU82O&#10;0zAQviPxDpbvNGmBVVU1XZVdFSFV7EoFcXYdp4nkP9luk/IA8AacuHDf5+pz8NlpuquFE+LiTGbG&#10;38x883l+3SlJDsL5xuiCjkc5JUJzUzZ6V9DPn1avppT4wHTJpNGioEfh6fXi5Yt5a2diYmojS+EI&#10;QLSftbagdQh2lmWe10IxPzJWaAQr4xQL+HW7rHSsBbqS2STPr7LWuNI6w4X38N72QbpI+FUleLir&#10;Ki8CkQVFbyGdLp3beGaLOZvtHLN1w89tsH/oQrFGo+gF6pYFRvau+QNKNdwZb6ow4kZlpqoaLtIM&#10;mGacP5tmUzMr0iwgx9sLTf7/wfKPh3tHmrKg0zeUaKawo9OP76efD6df3wh8IKi1foa8jUVm6N6Z&#10;Dose/B7OOHdXORW/mIggDqqPF3pFFwiPl6aT6TRHiCM2/AA/e7xunQ/vhVEkGgV12F+ilR3WPvSp&#10;Q0qsps2qkTLtUGrSFvTq9ds8XbhEAC41asQh+majFbptd55sa8ojBnOm14a3fNWg+Jr5cM8cxICG&#10;IfBwh6OSBkXM2aKkNu7r3/wxHztClJIW4iqohvopkR80dhd1OBhuMLaDoffqxkCtYzwcy5OJCy7I&#10;waycUV+g+mWsgRDTHJUKGgbzJvQCx6vhYrlMSVCbZWGtN5ZH6Eiet8t9AIGJ10hKz8SZK+gtbeb8&#10;NqKgn/6nrMcXvPg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FT8slNcAAAAKAQAADwAAAAAAAAAB&#10;ACAAAAAiAAAAZHJzL2Rvd25yZXYueG1sUEsBAhQAFAAAAAgAh07iQDldzooRAgAACQQAAA4AAAAA&#10;AAAAAQAgAAAAJgEAAGRycy9lMm9Eb2MueG1sUEsFBgAAAAAGAAYAWQEAAKkFAAAAAA==&#10;">
              <v:fill on="f" focussize="0,0"/>
              <v:stroke on="f" weight="0.5pt"/>
              <v:imagedata o:title=""/>
              <o:lock v:ext="edit" aspectratio="f"/>
              <v:textbox inset="0mm,0mm,0mm,0mm" style="mso-fit-shape-to-text:t;">
                <w:txbxContent>
                  <w:p>
                    <w:pPr>
                      <w:pStyle w:val="18"/>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78</w:t>
                    </w:r>
                    <w:r>
                      <w:rPr>
                        <w:sz w:val="21"/>
                        <w:szCs w:val="21"/>
                      </w:rPr>
                      <w:fldChar w:fldCharType="end"/>
                    </w:r>
                  </w:p>
                </w:txbxContent>
              </v:textbox>
            </v:shape>
          </w:pict>
        </mc:Fallback>
      </mc:AlternateContent>
    </w:r>
    <w:r>
      <w:drawing>
        <wp:inline distT="0" distB="0" distL="114300" distR="114300">
          <wp:extent cx="1008380" cy="231140"/>
          <wp:effectExtent l="0" t="0" r="7620" b="10160"/>
          <wp:docPr id="85" name="图片 85" descr="安建大png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安建大png文件"/>
                  <pic:cNvPicPr>
                    <a:picLocks noChangeAspect="1"/>
                  </pic:cNvPicPr>
                </pic:nvPicPr>
                <pic:blipFill>
                  <a:blip r:embed="rId1"/>
                  <a:stretch>
                    <a:fillRect/>
                  </a:stretch>
                </pic:blipFill>
                <pic:spPr>
                  <a:xfrm>
                    <a:off x="0" y="0"/>
                    <a:ext cx="1008380" cy="231140"/>
                  </a:xfrm>
                  <a:prstGeom prst="rect">
                    <a:avLst/>
                  </a:prstGeom>
                </pic:spPr>
              </pic:pic>
            </a:graphicData>
          </a:graphic>
        </wp:inline>
      </w:drawing>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top w:val="single" w:color="auto" w:sz="4" w:space="0"/>
      </w:pBdr>
    </w:pPr>
    <w:r>
      <mc:AlternateContent>
        <mc:Choice Requires="wps">
          <w:drawing>
            <wp:anchor distT="0" distB="0" distL="114300" distR="114300" simplePos="0" relativeHeight="251679744" behindDoc="0" locked="0" layoutInCell="1" allowOverlap="1">
              <wp:simplePos x="0" y="0"/>
              <wp:positionH relativeFrom="margin">
                <wp:posOffset>2595880</wp:posOffset>
              </wp:positionH>
              <wp:positionV relativeFrom="paragraph">
                <wp:posOffset>71120</wp:posOffset>
              </wp:positionV>
              <wp:extent cx="1828800" cy="1828800"/>
              <wp:effectExtent l="0" t="0" r="12065" b="12065"/>
              <wp:wrapNone/>
              <wp:docPr id="75" name="文本框 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ind w:firstLine="2520" w:firstLineChars="120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81</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204.4pt;margin-top:5.6pt;height:144pt;width:144pt;mso-position-horizontal-relative:margin;mso-wrap-style:none;z-index:251679744;mso-width-relative:page;mso-height-relative:page;" filled="f" stroked="f" coordsize="21600,21600" o:gfxdata="UEsDBAoAAAAAAIdO4kAAAAAAAAAAAAAAAAAEAAAAZHJzL1BLAwQUAAAACACHTuJAO9csbdYAAAAK&#10;AQAADwAAAGRycy9kb3ducmV2LnhtbE2PzU7DMBCE70i8g7VI3KidUEVNiFOJinBEouHA0Y2XJOCf&#10;yHbT8PYsJzjOzmjm23q/WsMWDHHyTkK2EcDQ9V5PbpDw1rV3O2AxKaeV8Q4lfGOEfXN9VatK+4t7&#10;xeWYBkYlLlZKwpjSXHEe+xGtihs/oyPvwwerEskwcB3Uhcqt4bkQBbdqcrQwqhkPI/Zfx7OVcGi7&#10;LiwYg3nH5/b+8+Vxi0+rlLc3mXgAlnBNf2H4xSd0aIjp5M9OR2YkbMWO0BMZWQ6MAkVZ0OEkIS/L&#10;HHhT8/8vND9QSwMEFAAAAAgAh07iQEqqMtoRAgAACQQAAA4AAABkcnMvZTJvRG9jLnhtbK1TzY7T&#10;MBC+I/EOlu80adEuVdV0VXZVhFSxKxXE2XWcJpL/ZLtNygPAG3Diwp3n6nPw2Wm6aJcT4uJMZsbf&#10;zHzzeX7TKUkOwvnG6IKORzklQnNTNnpX0E8fV6+mlPjAdMmk0aKgR+HpzeLli3lrZ2JiaiNL4QhA&#10;tJ+1tqB1CHaWZZ7XQjE/MlZoBCvjFAv4dbusdKwFupLZJM+vs9a40jrDhffw3vVBukj4VSV4uK8q&#10;LwKRBUVvIZ0undt4Zos5m+0cs3XDz22wf+hCsUaj6AXqjgVG9q55BqUa7ow3VRhxozJTVQ0XaQZM&#10;M86fTLOpmRVpFpDj7YUm//9g+YfDgyNNWdA3V5RoprCj0/dvpx+/Tj+/EvhAUGv9DHkbi8zQvTUd&#10;Fj34PZxx7q5yKn4xEUEcVB8v9IouEB4vTSfTaY4QR2z4AX72eN06H94Jo0g0Cuqwv0QrO6x96FOH&#10;lFhNm1UjZdqh1KQt6PXrqzxduEQALjVqxCH6ZqMVum13nmxryiMGc6bXhrd81aD4mvnwwBzEgIYh&#10;8HCPo5IGRczZoqQ27svf/DEfO0KUkhbiKqiG+imR7zV2F3U4GG4wtoOh9+rWQK1jPBzLk4kLLsjB&#10;rJxRn6H6ZayBENMclQoaBvM29ALHq+FiuUxJUJtlYa03lkfoSJ63y30AgYnXSErPxJkr6C1t5vw2&#10;oqD//E9Zjy948R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71yxt1gAAAAoBAAAPAAAAAAAAAAEA&#10;IAAAACIAAABkcnMvZG93bnJldi54bWxQSwECFAAUAAAACACHTuJASqoy2hECAAAJBAAADgAAAAAA&#10;AAABACAAAAAlAQAAZHJzL2Uyb0RvYy54bWxQSwUGAAAAAAYABgBZAQAAqAUAAAAA&#10;">
              <v:fill on="f" focussize="0,0"/>
              <v:stroke on="f" weight="0.5pt"/>
              <v:imagedata o:title=""/>
              <o:lock v:ext="edit" aspectratio="f"/>
              <v:textbox inset="0mm,0mm,0mm,0mm" style="mso-fit-shape-to-text:t;">
                <w:txbxContent>
                  <w:p>
                    <w:pPr>
                      <w:pStyle w:val="18"/>
                      <w:ind w:firstLine="2520" w:firstLineChars="120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81</w:t>
                    </w:r>
                    <w:r>
                      <w:rPr>
                        <w:sz w:val="21"/>
                        <w:szCs w:val="21"/>
                      </w:rPr>
                      <w:fldChar w:fldCharType="end"/>
                    </w:r>
                  </w:p>
                </w:txbxContent>
              </v:textbox>
            </v:shape>
          </w:pict>
        </mc:Fallback>
      </mc:AlternateContent>
    </w:r>
    <w:r>
      <w:drawing>
        <wp:inline distT="0" distB="0" distL="114300" distR="114300">
          <wp:extent cx="1008380" cy="231140"/>
          <wp:effectExtent l="0" t="0" r="7620" b="10160"/>
          <wp:docPr id="76" name="图片 76" descr="安建大png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安建大png文件"/>
                  <pic:cNvPicPr>
                    <a:picLocks noChangeAspect="1"/>
                  </pic:cNvPicPr>
                </pic:nvPicPr>
                <pic:blipFill>
                  <a:blip r:embed="rId1"/>
                  <a:stretch>
                    <a:fillRect/>
                  </a:stretch>
                </pic:blipFill>
                <pic:spPr>
                  <a:xfrm>
                    <a:off x="0" y="0"/>
                    <a:ext cx="1008380" cy="231140"/>
                  </a:xfrm>
                  <a:prstGeom prst="rect">
                    <a:avLst/>
                  </a:prstGeom>
                </pic:spPr>
              </pic:pic>
            </a:graphicData>
          </a:graphic>
        </wp:inline>
      </w:drawing>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top w:val="single" w:color="auto" w:sz="4" w:space="0"/>
      </w:pBdr>
    </w:pPr>
    <w:r>
      <mc:AlternateContent>
        <mc:Choice Requires="wps">
          <w:drawing>
            <wp:anchor distT="0" distB="0" distL="114300" distR="114300" simplePos="0" relativeHeight="251692032" behindDoc="0" locked="0" layoutInCell="1" allowOverlap="1">
              <wp:simplePos x="0" y="0"/>
              <wp:positionH relativeFrom="margin">
                <wp:posOffset>2595880</wp:posOffset>
              </wp:positionH>
              <wp:positionV relativeFrom="paragraph">
                <wp:posOffset>71120</wp:posOffset>
              </wp:positionV>
              <wp:extent cx="1828800" cy="1828800"/>
              <wp:effectExtent l="0" t="0" r="12065" b="12065"/>
              <wp:wrapNone/>
              <wp:docPr id="86" name="文本框 8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ind w:firstLine="105" w:firstLineChars="5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95</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204.4pt;margin-top:5.6pt;height:144pt;width:144pt;mso-position-horizontal-relative:margin;mso-wrap-style:none;z-index:251692032;mso-width-relative:page;mso-height-relative:page;" filled="f" stroked="f" coordsize="21600,21600" o:gfxdata="UEsDBAoAAAAAAIdO4kAAAAAAAAAAAAAAAAAEAAAAZHJzL1BLAwQUAAAACACHTuJAO9csbdYAAAAK&#10;AQAADwAAAGRycy9kb3ducmV2LnhtbE2PzU7DMBCE70i8g7VI3KidUEVNiFOJinBEouHA0Y2XJOCf&#10;yHbT8PYsJzjOzmjm23q/WsMWDHHyTkK2EcDQ9V5PbpDw1rV3O2AxKaeV8Q4lfGOEfXN9VatK+4t7&#10;xeWYBkYlLlZKwpjSXHEe+xGtihs/oyPvwwerEskwcB3Uhcqt4bkQBbdqcrQwqhkPI/Zfx7OVcGi7&#10;LiwYg3nH5/b+8+Vxi0+rlLc3mXgAlnBNf2H4xSd0aIjp5M9OR2YkbMWO0BMZWQ6MAkVZ0OEkIS/L&#10;HHhT8/8vND9QSwMEFAAAAAgAh07iQGnGaAoQAgAACQQAAA4AAABkcnMvZTJvRG9jLnhtbK1TzY7T&#10;MBC+I/EOlu80aRFVVTVdlV0VIVXsSgVxdh2nieQ/2W6T8gDwBpy4cOe5+hx8dpouYveEuDiTmfE3&#10;M998Xtx0SpKjcL4xuqDjUU6J0NyUjd4X9NPH9asZJT4wXTJptCjoSXh6s3z5YtHauZiY2shSOAIQ&#10;7eetLWgdgp1nmee1UMyPjBUawco4xQJ+3T4rHWuBrmQ2yfNp1hpXWme48B7euz5Ilwm/qgQP91Xl&#10;RSCyoOgtpNOlcxfPbLlg871jtm74pQ32D10o1mgUvULdscDIwTVPoFTDnfGmCiNuVGaqquEizYBp&#10;xvlf02xrZkWaBeR4e6XJ/z9Y/uH44EhTFnQ2pUQzhR2dv387//h1/vmVwAeCWuvnyNtaZIburemw&#10;6MHv4Yxzd5VT8YuJCOKg+nSlV3SB8HhpNpnNcoQ4YsMP8LPH69b58E4YRaJRUIf9JVrZceNDnzqk&#10;xGrarBsp0w6lJm1Bp6/f5OnCNQJwqVEjDtE3G63Q7brLZDtTnjCYM702vOXrBsU3zIcH5iAGNAyB&#10;h3sclTQoYi4WJbVxX57zx3zsCFFKWoiroBrqp0S+19hd1OFguMHYDYY+qFsDtY7xcCxPJi64IAez&#10;ckZ9hupXsQZCTHNUKmgYzNvQCxyvhovVKiVBbZaFjd5aHqEjed6uDgEEJl4jKT0TF66gt7SZy9uI&#10;gv7zP2U9vuDl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DvXLG3WAAAACgEAAA8AAAAAAAAAAQAg&#10;AAAAIgAAAGRycy9kb3ducmV2LnhtbFBLAQIUABQAAAAIAIdO4kBpxmgKEAIAAAkEAAAOAAAAAAAA&#10;AAEAIAAAACUBAABkcnMvZTJvRG9jLnhtbFBLBQYAAAAABgAGAFkBAACnBQAAAAA=&#10;">
              <v:fill on="f" focussize="0,0"/>
              <v:stroke on="f" weight="0.5pt"/>
              <v:imagedata o:title=""/>
              <o:lock v:ext="edit" aspectratio="f"/>
              <v:textbox inset="0mm,0mm,0mm,0mm" style="mso-fit-shape-to-text:t;">
                <w:txbxContent>
                  <w:p>
                    <w:pPr>
                      <w:pStyle w:val="18"/>
                      <w:ind w:firstLine="105" w:firstLineChars="5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95</w:t>
                    </w:r>
                    <w:r>
                      <w:rPr>
                        <w:sz w:val="21"/>
                        <w:szCs w:val="21"/>
                      </w:rPr>
                      <w:fldChar w:fldCharType="end"/>
                    </w:r>
                  </w:p>
                </w:txbxContent>
              </v:textbox>
            </v:shape>
          </w:pict>
        </mc:Fallback>
      </mc:AlternateContent>
    </w:r>
    <w:r>
      <w:drawing>
        <wp:inline distT="0" distB="0" distL="114300" distR="114300">
          <wp:extent cx="1008380" cy="231140"/>
          <wp:effectExtent l="0" t="0" r="7620" b="10160"/>
          <wp:docPr id="87" name="图片 87" descr="安建大png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安建大png文件"/>
                  <pic:cNvPicPr>
                    <a:picLocks noChangeAspect="1"/>
                  </pic:cNvPicPr>
                </pic:nvPicPr>
                <pic:blipFill>
                  <a:blip r:embed="rId1"/>
                  <a:stretch>
                    <a:fillRect/>
                  </a:stretch>
                </pic:blipFill>
                <pic:spPr>
                  <a:xfrm>
                    <a:off x="0" y="0"/>
                    <a:ext cx="1008380" cy="231140"/>
                  </a:xfrm>
                  <a:prstGeom prst="rect">
                    <a:avLst/>
                  </a:prstGeom>
                </pic:spPr>
              </pic:pic>
            </a:graphicData>
          </a:graphic>
        </wp:inline>
      </w:drawing>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top w:val="single" w:color="auto" w:sz="4" w:space="0"/>
      </w:pBdr>
    </w:pPr>
    <w:r>
      <mc:AlternateContent>
        <mc:Choice Requires="wps">
          <w:drawing>
            <wp:anchor distT="0" distB="0" distL="114300" distR="114300" simplePos="0" relativeHeight="251694080" behindDoc="0" locked="0" layoutInCell="1" allowOverlap="1">
              <wp:simplePos x="0" y="0"/>
              <wp:positionH relativeFrom="margin">
                <wp:posOffset>2595880</wp:posOffset>
              </wp:positionH>
              <wp:positionV relativeFrom="paragraph">
                <wp:posOffset>71120</wp:posOffset>
              </wp:positionV>
              <wp:extent cx="1828800" cy="1828800"/>
              <wp:effectExtent l="0" t="0" r="12065" b="12065"/>
              <wp:wrapNone/>
              <wp:docPr id="74" name="文本框 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ind w:firstLine="2625" w:firstLineChars="125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97</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204.4pt;margin-top:5.6pt;height:144pt;width:144pt;mso-position-horizontal-relative:margin;mso-wrap-style:none;z-index:251694080;mso-width-relative:page;mso-height-relative:page;" filled="f" stroked="f" coordsize="21600,21600" o:gfxdata="UEsDBAoAAAAAAIdO4kAAAAAAAAAAAAAAAAAEAAAAZHJzL1BLAwQUAAAACACHTuJAO9csbdYAAAAK&#10;AQAADwAAAGRycy9kb3ducmV2LnhtbE2PzU7DMBCE70i8g7VI3KidUEVNiFOJinBEouHA0Y2XJOCf&#10;yHbT8PYsJzjOzmjm23q/WsMWDHHyTkK2EcDQ9V5PbpDw1rV3O2AxKaeV8Q4lfGOEfXN9VatK+4t7&#10;xeWYBkYlLlZKwpjSXHEe+xGtihs/oyPvwwerEskwcB3Uhcqt4bkQBbdqcrQwqhkPI/Zfx7OVcGi7&#10;LiwYg3nH5/b+8+Vxi0+rlLc3mXgAlnBNf2H4xSd0aIjp5M9OR2YkbMWO0BMZWQ6MAkVZ0OEkIS/L&#10;HHhT8/8vND9QSwMEFAAAAAgAh07iQOLnYZoRAgAACQQAAA4AAABkcnMvZTJvRG9jLnhtbK1TzY7T&#10;MBC+I/EOlu80aYGlqpquyq6KkCp2pYI4u47TRPKfbLdJeQB4A05cuPNcfQ4+O013tXBCXJzJzPib&#10;mW8+z687JclBON8YXdDxKKdEaG7KRu8K+unj6sWUEh+YLpk0WhT0KDy9Xjx/Nm/tTExMbWQpHAGI&#10;9rPWFrQOwc6yzPNaKOZHxgqNYGWcYgG/bpeVjrVAVzKb5PlV1hpXWme48B7e2z5IFwm/qgQPd1Xl&#10;RSCyoOgtpNOlcxvPbDFns51jtm74uQ32D10o1mgUvUDdssDI3jV/QKmGO+NNFUbcqMxUVcNFmgHT&#10;jPMn02xqZkWaBeR4e6HJ/z9Y/uFw70hTFvTNK0o0U9jR6fu3049fp59fCXwgqLV+hryNRWbo3poO&#10;ix78Hs44d1c5Fb+YiCAOqo8XekUXCI+XppPpNEeIIzb8AD97uG6dD++EUSQaBXXYX6KVHdY+9KlD&#10;SqymzaqRMu1QatIW9Orl6zxduEQALjVqxCH6ZqMVum13nmxryiMGc6bXhrd81aD4mvlwzxzEgIYh&#10;8HCHo5IGRczZoqQ27svf/DEfO0KUkhbiKqiG+imR7zV2F3U4GG4wtoOh9+rGQK1jPBzLk4kLLsjB&#10;rJxRn6H6ZayBENMclQoaBvMm9ALHq+FiuUxJUJtlYa03lkfoSJ63y30AgYnXSErPxJkr6C1t5vw2&#10;oqAf/6eshxe8+A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71yxt1gAAAAoBAAAPAAAAAAAAAAEA&#10;IAAAACIAAABkcnMvZG93bnJldi54bWxQSwECFAAUAAAACACHTuJA4udhmhECAAAJBAAADgAAAAAA&#10;AAABACAAAAAlAQAAZHJzL2Uyb0RvYy54bWxQSwUGAAAAAAYABgBZAQAAqAUAAAAA&#10;">
              <v:fill on="f" focussize="0,0"/>
              <v:stroke on="f" weight="0.5pt"/>
              <v:imagedata o:title=""/>
              <o:lock v:ext="edit" aspectratio="f"/>
              <v:textbox inset="0mm,0mm,0mm,0mm" style="mso-fit-shape-to-text:t;">
                <w:txbxContent>
                  <w:p>
                    <w:pPr>
                      <w:pStyle w:val="18"/>
                      <w:ind w:firstLine="2625" w:firstLineChars="1250"/>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97</w:t>
                    </w:r>
                    <w:r>
                      <w:rPr>
                        <w:sz w:val="21"/>
                        <w:szCs w:val="21"/>
                      </w:rPr>
                      <w:fldChar w:fldCharType="end"/>
                    </w:r>
                  </w:p>
                </w:txbxContent>
              </v:textbox>
            </v:shape>
          </w:pict>
        </mc:Fallback>
      </mc:AlternateContent>
    </w:r>
    <w:r>
      <w:drawing>
        <wp:inline distT="0" distB="0" distL="114300" distR="114300">
          <wp:extent cx="1008380" cy="231140"/>
          <wp:effectExtent l="0" t="0" r="7620" b="10160"/>
          <wp:docPr id="77" name="图片 77" descr="安建大png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安建大png文件"/>
                  <pic:cNvPicPr>
                    <a:picLocks noChangeAspect="1"/>
                  </pic:cNvPicPr>
                </pic:nvPicPr>
                <pic:blipFill>
                  <a:blip r:embed="rId1"/>
                  <a:stretch>
                    <a:fillRect/>
                  </a:stretch>
                </pic:blipFill>
                <pic:spPr>
                  <a:xfrm>
                    <a:off x="0" y="0"/>
                    <a:ext cx="1008380" cy="231140"/>
                  </a:xfrm>
                  <a:prstGeom prst="rect">
                    <a:avLst/>
                  </a:prstGeom>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top w:val="single" w:color="auto" w:sz="4" w:space="0"/>
      </w:pBdr>
    </w:pPr>
    <w:r>
      <w:drawing>
        <wp:inline distT="0" distB="0" distL="114300" distR="114300">
          <wp:extent cx="1008380" cy="231140"/>
          <wp:effectExtent l="0" t="0" r="7620" b="10160"/>
          <wp:docPr id="60" name="图片 60" descr="安建大png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安建大png文件"/>
                  <pic:cNvPicPr>
                    <a:picLocks noChangeAspect="1"/>
                  </pic:cNvPicPr>
                </pic:nvPicPr>
                <pic:blipFill>
                  <a:blip r:embed="rId1"/>
                  <a:stretch>
                    <a:fillRect/>
                  </a:stretch>
                </pic:blipFill>
                <pic:spPr>
                  <a:xfrm>
                    <a:off x="0" y="0"/>
                    <a:ext cx="1008380" cy="231140"/>
                  </a:xfrm>
                  <a:prstGeom prst="rect">
                    <a:avLst/>
                  </a:prstGeom>
                </pic:spPr>
              </pic:pic>
            </a:graphicData>
          </a:graphic>
        </wp:inline>
      </w:drawing>
    </w:r>
    <w:r>
      <w:rPr>
        <w:rFonts w:hint="eastAsia"/>
      </w:rPr>
      <w:t xml:space="preserve">                                </w:t>
    </w:r>
    <w:r>
      <w:rPr>
        <w:rFonts w:hint="eastAsia"/>
        <w:sz w:val="21"/>
        <w:szCs w:val="21"/>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top w:val="single" w:color="auto" w:sz="4" w:space="0"/>
      </w:pBd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pPr>
                        </w:p>
                        <w:p>
                          <w:pPr>
                            <w:pStyle w:val="18"/>
                          </w:pPr>
                          <w:r>
                            <w:fldChar w:fldCharType="begin"/>
                          </w:r>
                          <w:r>
                            <w:instrText xml:space="preserve"> PAGE  \* MERGEFORMAT </w:instrText>
                          </w:r>
                          <w:r>
                            <w:fldChar w:fldCharType="separate"/>
                          </w:r>
                          <w:r>
                            <w:t>III</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0thgPAgAACQQAAA4AAABkcnMvZTJvRG9jLnhtbK1TzY7TMBC+I/EO&#10;lu80aRGrqmq6KrsqQqrYlQri7DpOE8l/st0m5QHgDThx4c5z9Tn47CRdBJwQF2cyM56Z75vPy9tO&#10;SXISzjdGF3Q6ySkRmpuy0YeCfni/eTGnxAemSyaNFgU9C09vV8+fLVu7EDNTG1kKR1BE+0VrC1qH&#10;YBdZ5nktFPMTY4VGsDJOsYBfd8hKx1pUVzKb5flN1hpXWme48B7e+z5IV6l+VQkeHqrKi0BkQTFb&#10;SKdL5z6e2WrJFgfHbN3wYQz2D1Mo1mg0vZa6Z4GRo2v+KKUa7ow3VZhwozJTVQ0XCQPQTPPf0Oxq&#10;ZkXCAnK8vdLk/19Z/u706EhTFvRmRolmCju6fP1y+fbj8v0zgQ8EtdYvkLezyAzda9Nh0aPfwxlx&#10;d5VT8QtEBHFQfb7SK7pAeLw0n83nOUIcsfEH9bOn69b58EYYRaJRUIf9JVrZaetDnzqmxG7abBop&#10;0w6lJi1AvHyVpwvXCIpLjR4RRD9stEK37wZke1OeAcyZXhve8k2D5lvmwyNzEAMGhsDDA45KGjQx&#10;g0VJbdynv/ljPnaEKCUtxFVQDfVTIt9q7C7qcDTcaOxHQx/VnYFap3g4licTF1yQo1k5oz5C9evY&#10;AyGmOToVNIzmXegFjlfDxXqdkqA2y8JW7yyPpSN53q6PAQQmXiMpPRMDV9Bb2szwNqKgf/1PWU8v&#10;ePUT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s0lY7tAAAAAFAQAADwAAAAAAAAABACAAAAAiAAAA&#10;ZHJzL2Rvd25yZXYueG1sUEsBAhQAFAAAAAgAh07iQMQ0thgPAgAACQQAAA4AAAAAAAAAAQAgAAAA&#10;HwEAAGRycy9lMm9Eb2MueG1sUEsFBgAAAAAGAAYAWQEAAKAFAAAAAA==&#10;">
              <v:fill on="f" focussize="0,0"/>
              <v:stroke on="f" weight="0.5pt"/>
              <v:imagedata o:title=""/>
              <o:lock v:ext="edit" aspectratio="f"/>
              <v:textbox inset="0mm,0mm,0mm,0mm" style="mso-fit-shape-to-text:t;">
                <w:txbxContent>
                  <w:p>
                    <w:pPr>
                      <w:pStyle w:val="18"/>
                    </w:pPr>
                  </w:p>
                  <w:p>
                    <w:pPr>
                      <w:pStyle w:val="18"/>
                    </w:pPr>
                    <w:r>
                      <w:fldChar w:fldCharType="begin"/>
                    </w:r>
                    <w:r>
                      <w:instrText xml:space="preserve"> PAGE  \* MERGEFORMAT </w:instrText>
                    </w:r>
                    <w:r>
                      <w:fldChar w:fldCharType="separate"/>
                    </w:r>
                    <w:r>
                      <w:t>III</w:t>
                    </w:r>
                    <w:r>
                      <w:fldChar w:fldCharType="end"/>
                    </w:r>
                  </w:p>
                </w:txbxContent>
              </v:textbox>
            </v:shape>
          </w:pict>
        </mc:Fallback>
      </mc:AlternateContent>
    </w:r>
    <w:r>
      <w:drawing>
        <wp:inline distT="0" distB="0" distL="114300" distR="114300">
          <wp:extent cx="1008380" cy="231140"/>
          <wp:effectExtent l="0" t="0" r="7620" b="10160"/>
          <wp:docPr id="63" name="图片 63" descr="安建大png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安建大png文件"/>
                  <pic:cNvPicPr>
                    <a:picLocks noChangeAspect="1"/>
                  </pic:cNvPicPr>
                </pic:nvPicPr>
                <pic:blipFill>
                  <a:blip r:embed="rId1"/>
                  <a:stretch>
                    <a:fillRect/>
                  </a:stretch>
                </pic:blipFill>
                <pic:spPr>
                  <a:xfrm>
                    <a:off x="0" y="0"/>
                    <a:ext cx="1008380" cy="231140"/>
                  </a:xfrm>
                  <a:prstGeom prst="rect">
                    <a:avLst/>
                  </a:prstGeom>
                </pic:spPr>
              </pic:pic>
            </a:graphicData>
          </a:graphic>
        </wp:inline>
      </w:drawing>
    </w:r>
    <w:r>
      <w:rPr>
        <w:rFonts w:hint="eastAsia"/>
      </w:rPr>
      <w:t xml:space="preserve">                                </w:t>
    </w:r>
    <w:r>
      <w:rPr>
        <w:rFonts w:hint="eastAsia"/>
        <w:sz w:val="21"/>
        <w:szCs w:val="21"/>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top w:val="single" w:color="auto" w:sz="4" w:space="0"/>
      </w:pBdr>
    </w:pPr>
    <w:r>
      <mc:AlternateContent>
        <mc:Choice Requires="wps">
          <w:drawing>
            <wp:anchor distT="0" distB="0" distL="114300" distR="114300" simplePos="0" relativeHeight="251662336" behindDoc="0" locked="0" layoutInCell="1" allowOverlap="0">
              <wp:simplePos x="0" y="0"/>
              <wp:positionH relativeFrom="margin">
                <wp:posOffset>2843530</wp:posOffset>
              </wp:positionH>
              <wp:positionV relativeFrom="paragraph">
                <wp:posOffset>71120</wp:posOffset>
              </wp:positionV>
              <wp:extent cx="1828800" cy="1828800"/>
              <wp:effectExtent l="0" t="0" r="2540" b="12065"/>
              <wp:wrapNone/>
              <wp:docPr id="57" name="文本框 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jc w:val="center"/>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223.9pt;margin-top:5.6pt;height:144pt;width:144pt;mso-position-horizontal-relative:margin;mso-wrap-style:none;z-index:251662336;mso-width-relative:page;mso-height-relative:page;" filled="f" stroked="f" coordsize="21600,21600" o:allowoverlap="f" o:gfxdata="UEsDBAoAAAAAAIdO4kAAAAAAAAAAAAAAAAAEAAAAZHJzL1BLAwQUAAAACACHTuJA4LNCFNcAAAAK&#10;AQAADwAAAGRycy9kb3ducmV2LnhtbE2PwU7DMBBE70j8g7VI3KiTNFAa4lSiIhyRaDhwdOMlCcTr&#10;yHbT8PcsJzjOzmjmbblb7Chm9GFwpCBdJSCQWmcG6hS8NfXNPYgQNRk9OkIF3xhgV11elLow7kyv&#10;OB9iJ7iEQqEV9DFOhZSh7dHqsHITEnsfzlsdWfpOGq/PXG5HmSXJnbR6IF7o9YT7Htuvw8kq2NdN&#10;42cMfnzH53r9+fKY49Oi1PVVmjyAiLjEvzD84jM6VMx0dCcyQYwK8nzD6JGNNAPBgc36lg9HBdl2&#10;m4GsSvn/heoHUEsDBBQAAAAIAIdO4kB1xn8xEQIAAAkEAAAOAAAAZHJzL2Uyb0RvYy54bWytU82O&#10;0zAQviPxDpbvNGnRLlXVdFV2VYRUsSsVxNl1nCaS/2S7TcoDwBtw4sKd5+pz8NlpumiXE+LiTGbG&#10;38x883l+0ylJDsL5xuiCjkc5JUJzUzZ6V9BPH1evppT4wHTJpNGioEfh6c3i5Yt5a2diYmojS+EI&#10;QLSftbagdQh2lmWe10IxPzJWaAQr4xQL+HW7rHSsBbqS2STPr7PWuNI6w4X38N71QbpI+FUleLiv&#10;Ki8CkQVFbyGdLp3beGaLOZvtHLN1w89tsH/oQrFGo+gF6o4FRvaueQalGu6MN1UYcaMyU1UNF2kG&#10;TDPOn0yzqZkVaRaQ4+2FJv//YPmHw4MjTVnQqzeUaKawo9P3b6cfv04/vxL4QFBr/Qx5G4vM0L01&#10;HRY9+D2cce6ucip+MRFBHFQfL/SKLhAeL00n02mOEEds+AF+9njdOh/eCaNINArqsL9EKzusfehT&#10;h5RYTZtVI2XaodSkLej166s8XbhEAC41asQh+majFbptd55sa8ojBnOm14a3fNWg+Jr58MAcxICG&#10;IfBwj6OSBkXM2aKkNu7L3/wxHztClJIW4iqohvopke81dhd1OBhuMLaDoffq1kCtYzwcy5OJCy7I&#10;waycUZ+h+mWsgRDTHJUKGgbzNvQCx6vhYrlMSVCbZWGtN5ZH6Eiet8t9AIGJ10hKz8SZK+gtbeb8&#10;NqKg//xPWY8vePE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4LNCFNcAAAAKAQAADwAAAAAAAAAB&#10;ACAAAAAiAAAAZHJzL2Rvd25yZXYueG1sUEsBAhQAFAAAAAgAh07iQHXGfzERAgAACQQAAA4AAAAA&#10;AAAAAQAgAAAAJgEAAGRycy9lMm9Eb2MueG1sUEsFBgAAAAAGAAYAWQEAAKkFAAAAAA==&#10;">
              <v:fill on="f" focussize="0,0"/>
              <v:stroke on="f" weight="0.5pt"/>
              <v:imagedata o:title=""/>
              <o:lock v:ext="edit" aspectratio="f"/>
              <v:textbox inset="0mm,0mm,0mm,0mm" style="mso-fit-shape-to-text:t;">
                <w:txbxContent>
                  <w:p>
                    <w:pPr>
                      <w:pStyle w:val="18"/>
                      <w:jc w:val="center"/>
                      <w:rPr>
                        <w:sz w:val="21"/>
                        <w:szCs w:val="21"/>
                      </w:rPr>
                    </w:pPr>
                    <w:r>
                      <w:rPr>
                        <w:sz w:val="21"/>
                        <w:szCs w:val="21"/>
                      </w:rPr>
                      <w:fldChar w:fldCharType="begin"/>
                    </w:r>
                    <w:r>
                      <w:rPr>
                        <w:sz w:val="21"/>
                        <w:szCs w:val="21"/>
                      </w:rPr>
                      <w:instrText xml:space="preserve"> PAGE  \* MERGEFORMAT </w:instrText>
                    </w:r>
                    <w:r>
                      <w:rPr>
                        <w:sz w:val="21"/>
                        <w:szCs w:val="21"/>
                      </w:rPr>
                      <w:fldChar w:fldCharType="separate"/>
                    </w:r>
                    <w:r>
                      <w:rPr>
                        <w:sz w:val="21"/>
                        <w:szCs w:val="21"/>
                      </w:rPr>
                      <w:t>1</w:t>
                    </w:r>
                    <w:r>
                      <w:rPr>
                        <w:sz w:val="21"/>
                        <w:szCs w:val="21"/>
                      </w:rPr>
                      <w:fldChar w:fldCharType="end"/>
                    </w:r>
                  </w:p>
                </w:txbxContent>
              </v:textbox>
            </v:shape>
          </w:pict>
        </mc:Fallback>
      </mc:AlternateContent>
    </w:r>
    <w:r>
      <w:drawing>
        <wp:inline distT="0" distB="0" distL="114300" distR="114300">
          <wp:extent cx="1008380" cy="231140"/>
          <wp:effectExtent l="0" t="0" r="7620" b="10160"/>
          <wp:docPr id="58" name="图片 58" descr="安建大png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安建大png文件"/>
                  <pic:cNvPicPr>
                    <a:picLocks noChangeAspect="1"/>
                  </pic:cNvPicPr>
                </pic:nvPicPr>
                <pic:blipFill>
                  <a:blip r:embed="rId1"/>
                  <a:stretch>
                    <a:fillRect/>
                  </a:stretch>
                </pic:blipFill>
                <pic:spPr>
                  <a:xfrm>
                    <a:off x="0" y="0"/>
                    <a:ext cx="1008380" cy="231140"/>
                  </a:xfrm>
                  <a:prstGeom prst="rect">
                    <a:avLst/>
                  </a:prstGeom>
                </pic:spPr>
              </pic:pic>
            </a:graphicData>
          </a:graphic>
        </wp:inline>
      </w:drawing>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top w:val="single" w:color="auto" w:sz="4" w:space="0"/>
      </w:pBdr>
    </w:pPr>
    <w:r>
      <mc:AlternateContent>
        <mc:Choice Requires="wps">
          <w:drawing>
            <wp:anchor distT="0" distB="0" distL="114300" distR="114300" simplePos="0" relativeHeight="251667456" behindDoc="0" locked="0" layoutInCell="1" allowOverlap="0">
              <wp:simplePos x="0" y="0"/>
              <wp:positionH relativeFrom="margin">
                <wp:posOffset>824230</wp:posOffset>
              </wp:positionH>
              <wp:positionV relativeFrom="paragraph">
                <wp:posOffset>83185</wp:posOffset>
              </wp:positionV>
              <wp:extent cx="1828800" cy="1828800"/>
              <wp:effectExtent l="0" t="0" r="9525" b="12065"/>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jc w:val="center"/>
                            <w:rPr>
                              <w:sz w:val="21"/>
                              <w:szCs w:val="21"/>
                            </w:rPr>
                          </w:pPr>
                          <w:r>
                            <w:rPr>
                              <w:sz w:val="21"/>
                              <w:szCs w:val="21"/>
                            </w:rPr>
                            <w:ptab w:relativeTo="margin" w:alignment="center" w:leader="none"/>
                          </w:r>
                          <w:r>
                            <w:rPr>
                              <w:rFonts w:hint="eastAsia"/>
                              <w:sz w:val="21"/>
                              <w:szCs w:val="21"/>
                            </w:rPr>
                            <w:t xml:space="preserve">       </w:t>
                          </w:r>
                          <w:r>
                            <w:rPr>
                              <w:sz w:val="21"/>
                              <w:szCs w:val="21"/>
                            </w:rPr>
                            <w:fldChar w:fldCharType="begin"/>
                          </w:r>
                          <w:r>
                            <w:rPr>
                              <w:sz w:val="21"/>
                              <w:szCs w:val="21"/>
                            </w:rPr>
                            <w:instrText xml:space="preserve"> PAGE  \* MERGEFORMAT </w:instrText>
                          </w:r>
                          <w:r>
                            <w:rPr>
                              <w:sz w:val="21"/>
                              <w:szCs w:val="21"/>
                            </w:rPr>
                            <w:fldChar w:fldCharType="separate"/>
                          </w:r>
                          <w:r>
                            <w:rPr>
                              <w:sz w:val="21"/>
                              <w:szCs w:val="21"/>
                            </w:rPr>
                            <w:t>9</w:t>
                          </w:r>
                          <w:r>
                            <w:rPr>
                              <w:sz w:val="21"/>
                              <w:szCs w:val="21"/>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64.9pt;margin-top:6.55pt;height:144pt;width:144pt;mso-position-horizontal-relative:margin;mso-wrap-style:none;z-index:251667456;mso-width-relative:page;mso-height-relative:page;" filled="f" stroked="f" coordsize="21600,21600" o:allowoverlap="f" o:gfxdata="UEsDBAoAAAAAAIdO4kAAAAAAAAAAAAAAAAAEAAAAZHJzL1BLAwQUAAAACACHTuJAn29TRNYAAAAK&#10;AQAADwAAAGRycy9kb3ducmV2LnhtbE2PS0/DMBCE70j8B2uRuFHbTcUjxKlERTgi0XDg6MZLEvAj&#10;st00/HuWE73t7I5mv6m2i7NsxpjG4BXIlQCGvgtm9L2C97a5uQeWsvZG2+BRwQ8m2NaXF5UuTTj5&#10;N5z3uWcU4lOpFQw5TyXnqRvQ6bQKE3q6fYbodCYZe26iPlG4s3wtxC13evT0YdAT7gbsvvdHp2DX&#10;tG2cMUX7gS9N8fX6tMHnRanrKykegWVc8r8Z/vAJHWpiOoSjN4lZ0usHQs80FBIYGTbyjhYHBYWQ&#10;Enhd8fMK9S9QSwMEFAAAAAgAh07iQGGVYV4QAgAABwQAAA4AAABkcnMvZTJvRG9jLnhtbK1TzY7T&#10;MBC+I/EOlu80aVlWVdV0VXZVhFSxKxXE2XWcJpL/ZLtNygPAG3Diwp3n6nPw2Wm6aJcT4mKPPeNv&#10;Zr75PL/plCQH4XxjdEHHo5wSobkpG70r6KePq1dTSnxgumTSaFHQo/D0ZvHyxby1MzExtZGlcAQg&#10;2s9aW9A6BDvLMs9roZgfGSs0nJVxigUc3S4rHWuBrmQ2yfPrrDWutM5w4T1u73onXST8qhI83FeV&#10;F4HIgqK2kFaX1m1cs8WczXaO2brh5zLYP1ShWKOR9AJ1xwIje9c8g1INd8abKoy4UZmpqoaL1AO6&#10;GedPutnUzIrUC8jx9kKT/3+w/MPhwZGmLOgVJZopjOj0/dvpx6/Tz6/kKtLTWj9D1MYiLnRvTYcx&#10;D/cel7HrrnIq7uiHwA+ijxdyRRcIj4+mk+k0h4vDNxyAnz0+t86Hd8IoEo2COkwvkcoOax/60CEk&#10;ZtNm1UiZJig1aQt6/fpNnh5cPACXGjliE32x0Qrdtjt3tjXlEY050yvDW75qkHzNfHhgDlJAwZB3&#10;uMdSSYMk5mxRUhv35W/3MR4TgpeSFtIqqIb2KZHvNSYXVTgYbjC2g6H36tZAq2N8G8uTiQcuyMGs&#10;nFGfofllzAEX0xyZChoG8zb08saf4WK5TEHQmmVhrTeWR+hInrfLfQCBiddISs/EmSuoLU3m/DOi&#10;nP88p6jH/7v4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J9vU0TWAAAACgEAAA8AAAAAAAAAAQAg&#10;AAAAIgAAAGRycy9kb3ducmV2LnhtbFBLAQIUABQAAAAIAIdO4kBhlWFeEAIAAAcEAAAOAAAAAAAA&#10;AAEAIAAAACUBAABkcnMvZTJvRG9jLnhtbFBLBQYAAAAABgAGAFkBAACnBQAAAAA=&#10;">
              <v:fill on="f" focussize="0,0"/>
              <v:stroke on="f" weight="0.5pt"/>
              <v:imagedata o:title=""/>
              <o:lock v:ext="edit" aspectratio="f"/>
              <v:textbox inset="0mm,0mm,0mm,0mm" style="mso-fit-shape-to-text:t;">
                <w:txbxContent>
                  <w:p>
                    <w:pPr>
                      <w:pStyle w:val="18"/>
                      <w:jc w:val="center"/>
                      <w:rPr>
                        <w:sz w:val="21"/>
                        <w:szCs w:val="21"/>
                      </w:rPr>
                    </w:pPr>
                    <w:r>
                      <w:rPr>
                        <w:sz w:val="21"/>
                        <w:szCs w:val="21"/>
                      </w:rPr>
                      <w:ptab w:relativeTo="margin" w:alignment="center" w:leader="none"/>
                    </w:r>
                    <w:r>
                      <w:rPr>
                        <w:rFonts w:hint="eastAsia"/>
                        <w:sz w:val="21"/>
                        <w:szCs w:val="21"/>
                      </w:rPr>
                      <w:t xml:space="preserve">       </w:t>
                    </w:r>
                    <w:r>
                      <w:rPr>
                        <w:sz w:val="21"/>
                        <w:szCs w:val="21"/>
                      </w:rPr>
                      <w:fldChar w:fldCharType="begin"/>
                    </w:r>
                    <w:r>
                      <w:rPr>
                        <w:sz w:val="21"/>
                        <w:szCs w:val="21"/>
                      </w:rPr>
                      <w:instrText xml:space="preserve"> PAGE  \* MERGEFORMAT </w:instrText>
                    </w:r>
                    <w:r>
                      <w:rPr>
                        <w:sz w:val="21"/>
                        <w:szCs w:val="21"/>
                      </w:rPr>
                      <w:fldChar w:fldCharType="separate"/>
                    </w:r>
                    <w:r>
                      <w:rPr>
                        <w:sz w:val="21"/>
                        <w:szCs w:val="21"/>
                      </w:rPr>
                      <w:t>9</w:t>
                    </w:r>
                    <w:r>
                      <w:rPr>
                        <w:sz w:val="21"/>
                        <w:szCs w:val="21"/>
                      </w:rPr>
                      <w:fldChar w:fldCharType="end"/>
                    </w:r>
                  </w:p>
                </w:txbxContent>
              </v:textbox>
            </v:shape>
          </w:pict>
        </mc:Fallback>
      </mc:AlternateContent>
    </w:r>
    <w:r>
      <w:drawing>
        <wp:inline distT="0" distB="0" distL="114300" distR="114300">
          <wp:extent cx="1008380" cy="231140"/>
          <wp:effectExtent l="0" t="0" r="7620" b="10160"/>
          <wp:docPr id="5" name="图片 5" descr="安建大png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安建大png文件"/>
                  <pic:cNvPicPr>
                    <a:picLocks noChangeAspect="1"/>
                  </pic:cNvPicPr>
                </pic:nvPicPr>
                <pic:blipFill>
                  <a:blip r:embed="rId1"/>
                  <a:stretch>
                    <a:fillRect/>
                  </a:stretch>
                </pic:blipFill>
                <pic:spPr>
                  <a:xfrm>
                    <a:off x="0" y="0"/>
                    <a:ext cx="1008380" cy="231140"/>
                  </a:xfrm>
                  <a:prstGeom prst="rect">
                    <a:avLst/>
                  </a:prstGeom>
                </pic:spPr>
              </pic:pic>
            </a:graphicData>
          </a:graphic>
        </wp:inline>
      </w:drawing>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top w:val="single" w:color="auto" w:sz="4" w:space="0"/>
      </w:pBdr>
    </w:pPr>
    <w:r>
      <mc:AlternateContent>
        <mc:Choice Requires="wps">
          <w:drawing>
            <wp:anchor distT="0" distB="0" distL="114300" distR="114300" simplePos="0" relativeHeight="251669504" behindDoc="0" locked="0" layoutInCell="1" allowOverlap="0">
              <wp:simplePos x="0" y="0"/>
              <wp:positionH relativeFrom="margin">
                <wp:posOffset>823595</wp:posOffset>
              </wp:positionH>
              <wp:positionV relativeFrom="paragraph">
                <wp:posOffset>78740</wp:posOffset>
              </wp:positionV>
              <wp:extent cx="2867025" cy="1828800"/>
              <wp:effectExtent l="0" t="0" r="9525" b="12065"/>
              <wp:wrapNone/>
              <wp:docPr id="64" name="文本框 64"/>
              <wp:cNvGraphicFramePr/>
              <a:graphic xmlns:a="http://schemas.openxmlformats.org/drawingml/2006/main">
                <a:graphicData uri="http://schemas.microsoft.com/office/word/2010/wordprocessingShape">
                  <wps:wsp>
                    <wps:cNvSpPr txBox="1"/>
                    <wps:spPr>
                      <a:xfrm>
                        <a:off x="0" y="0"/>
                        <a:ext cx="2867025"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jc w:val="center"/>
                            <w:rPr>
                              <w:sz w:val="21"/>
                              <w:szCs w:val="21"/>
                            </w:rPr>
                          </w:pPr>
                          <w:r>
                            <w:rPr>
                              <w:sz w:val="21"/>
                              <w:szCs w:val="21"/>
                            </w:rPr>
                            <w:ptab w:relativeTo="margin" w:alignment="center" w:leader="none"/>
                          </w:r>
                          <w:r>
                            <w:rPr>
                              <w:sz w:val="21"/>
                              <w:szCs w:val="21"/>
                            </w:rPr>
                            <w:fldChar w:fldCharType="begin"/>
                          </w:r>
                          <w:r>
                            <w:rPr>
                              <w:sz w:val="21"/>
                              <w:szCs w:val="21"/>
                            </w:rPr>
                            <w:instrText xml:space="preserve"> PAGE  \* MERGEFORMAT </w:instrText>
                          </w:r>
                          <w:r>
                            <w:rPr>
                              <w:sz w:val="21"/>
                              <w:szCs w:val="21"/>
                            </w:rPr>
                            <w:fldChar w:fldCharType="separate"/>
                          </w:r>
                          <w:r>
                            <w:rPr>
                              <w:sz w:val="21"/>
                              <w:szCs w:val="21"/>
                            </w:rPr>
                            <w:t>10</w:t>
                          </w:r>
                          <w:r>
                            <w:rPr>
                              <w:sz w:val="21"/>
                              <w:szCs w:val="21"/>
                            </w:rP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64.85pt;margin-top:6.2pt;height:144pt;width:225.75pt;mso-position-horizontal-relative:margin;z-index:251669504;mso-width-relative:page;mso-height-relative:page;" filled="f" stroked="f" coordsize="21600,21600" o:allowoverlap="f" o:gfxdata="UEsDBAoAAAAAAIdO4kAAAAAAAAAAAAAAAAAEAAAAZHJzL1BLAwQUAAAACACHTuJAD/DVQtgAAAAK&#10;AQAADwAAAGRycy9kb3ducmV2LnhtbE2PMU/DMBCFdyT+g3VIbNROKFBCnA4IOsDUFFUdr8klDsR2&#10;FLtp4ddznWC7p3v37nv58mR7MdEYOu80JDMFglzl6861Gj42rzcLECGiq7H3jjR8U4BlcXmRY1b7&#10;o1vTVMZWcIgLGWowMQ6ZlKEyZDHM/ECOd40fLUaWYyvrEY8cbnuZKnUvLXaOPxgc6NlQ9VUeLGNs&#10;35Vd/TRmZ9+wCaXZTKuXT62vrxL1BCLSKf6Z4YzPN1Aw094fXB1Ezzp9fGDreZiDYMPdIklB7DXc&#10;KjUHWeTyf4XiF1BLAwQUAAAACACHTuJAtDbfaxcCAAALBAAADgAAAGRycy9lMm9Eb2MueG1srVPL&#10;jtMwFN0j8Q+W9zRpYUpVNR2VGRUhVcxIBc3adZwmkl/YbpPyAfAHrNiw57v6HRy7TWcErBAb5+Y+&#10;fc49nl13SpK9cL4xuqDDQU6J0NyUjd4W9OOH5YsJJT4wXTJptCjoQXh6PX/+bNbaqRiZ2shSOIIm&#10;2k9bW9A6BDvNMs9roZgfGCs0gpVxigX8um1WOtaiu5LZKM/HWWtcaZ3hwnt4b09BOk/9q0rwcFdV&#10;XgQiC4q7hXS6dG7imc1nbLp1zNYNP1+D/cMtFGs0hl5a3bLAyM41f7RSDXfGmyoMuFGZqaqGi4QB&#10;aIb5b2jWNbMiYQE53l5o8v+vLX+/v3ekKQs6fkWJZgo7On77evz+8/jjC4EPBLXWT5G3tsgM3RvT&#10;YdG938MZcXeVU/ELRARxUH240Cu6QDico8n4dT66ooQjNpyMJpM8LSB7LLfOh7fCKBKNgjrsL9HK&#10;9isfcBWk9ilxmjbLRsq0Q6lJCxAvr/JUcImgQmoURhCny0YrdJvujGxjygOAOXPShrd82WD4ivlw&#10;zxzEACwQeLjDUUmDIeZsUVIb9/lv/piPHSFKSQtxFdR/2jEnKJHvNLYXldgbrjc2vaF36sZAr0M8&#10;HcuTiQIXZG9WzqgH6H4RpyDENMesgobevAkniePdcLFYpCTozbKw0mvLY+tIn7eLXQCFidlIy4mL&#10;M1tQXCL8/DqipJ/+p6zHNzz/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A/w1ULYAAAACgEAAA8A&#10;AAAAAAAAAQAgAAAAIgAAAGRycy9kb3ducmV2LnhtbFBLAQIUABQAAAAIAIdO4kC0Nt9rFwIAAAsE&#10;AAAOAAAAAAAAAAEAIAAAACcBAABkcnMvZTJvRG9jLnhtbFBLBQYAAAAABgAGAFkBAACwBQAAAAA=&#10;">
              <v:fill on="f" focussize="0,0"/>
              <v:stroke on="f" weight="0.5pt"/>
              <v:imagedata o:title=""/>
              <o:lock v:ext="edit" aspectratio="f"/>
              <v:textbox inset="0mm,0mm,0mm,0mm" style="mso-fit-shape-to-text:t;">
                <w:txbxContent>
                  <w:p>
                    <w:pPr>
                      <w:pStyle w:val="18"/>
                      <w:jc w:val="center"/>
                      <w:rPr>
                        <w:sz w:val="21"/>
                        <w:szCs w:val="21"/>
                      </w:rPr>
                    </w:pPr>
                    <w:r>
                      <w:rPr>
                        <w:sz w:val="21"/>
                        <w:szCs w:val="21"/>
                      </w:rPr>
                      <w:ptab w:relativeTo="margin" w:alignment="center" w:leader="none"/>
                    </w:r>
                    <w:r>
                      <w:rPr>
                        <w:sz w:val="21"/>
                        <w:szCs w:val="21"/>
                      </w:rPr>
                      <w:fldChar w:fldCharType="begin"/>
                    </w:r>
                    <w:r>
                      <w:rPr>
                        <w:sz w:val="21"/>
                        <w:szCs w:val="21"/>
                      </w:rPr>
                      <w:instrText xml:space="preserve"> PAGE  \* MERGEFORMAT </w:instrText>
                    </w:r>
                    <w:r>
                      <w:rPr>
                        <w:sz w:val="21"/>
                        <w:szCs w:val="21"/>
                      </w:rPr>
                      <w:fldChar w:fldCharType="separate"/>
                    </w:r>
                    <w:r>
                      <w:rPr>
                        <w:sz w:val="21"/>
                        <w:szCs w:val="21"/>
                      </w:rPr>
                      <w:t>10</w:t>
                    </w:r>
                    <w:r>
                      <w:rPr>
                        <w:sz w:val="21"/>
                        <w:szCs w:val="21"/>
                      </w:rPr>
                      <w:fldChar w:fldCharType="end"/>
                    </w:r>
                  </w:p>
                </w:txbxContent>
              </v:textbox>
            </v:shape>
          </w:pict>
        </mc:Fallback>
      </mc:AlternateContent>
    </w:r>
    <w:r>
      <w:drawing>
        <wp:inline distT="0" distB="0" distL="114300" distR="114300">
          <wp:extent cx="1008380" cy="231140"/>
          <wp:effectExtent l="0" t="0" r="7620" b="10160"/>
          <wp:docPr id="65" name="图片 65" descr="安建大png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安建大png文件"/>
                  <pic:cNvPicPr>
                    <a:picLocks noChangeAspect="1"/>
                  </pic:cNvPicPr>
                </pic:nvPicPr>
                <pic:blipFill>
                  <a:blip r:embed="rId1"/>
                  <a:stretch>
                    <a:fillRect/>
                  </a:stretch>
                </pic:blipFill>
                <pic:spPr>
                  <a:xfrm>
                    <a:off x="0" y="0"/>
                    <a:ext cx="1008380" cy="231140"/>
                  </a:xfrm>
                  <a:prstGeom prst="rect">
                    <a:avLst/>
                  </a:prstGeom>
                </pic:spPr>
              </pic:pic>
            </a:graphicData>
          </a:graphic>
        </wp:inline>
      </w:drawing>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top w:val="single" w:color="auto" w:sz="4" w:space="0"/>
      </w:pBdr>
    </w:pPr>
    <w:r>
      <mc:AlternateContent>
        <mc:Choice Requires="wps">
          <w:drawing>
            <wp:anchor distT="0" distB="0" distL="114300" distR="114300" simplePos="0" relativeHeight="251681792" behindDoc="0" locked="0" layoutInCell="1" allowOverlap="0">
              <wp:simplePos x="0" y="0"/>
              <wp:positionH relativeFrom="margin">
                <wp:posOffset>2099945</wp:posOffset>
              </wp:positionH>
              <wp:positionV relativeFrom="paragraph">
                <wp:posOffset>76835</wp:posOffset>
              </wp:positionV>
              <wp:extent cx="2800350" cy="1828800"/>
              <wp:effectExtent l="0" t="0" r="0" b="12065"/>
              <wp:wrapNone/>
              <wp:docPr id="16" name="文本框 16"/>
              <wp:cNvGraphicFramePr/>
              <a:graphic xmlns:a="http://schemas.openxmlformats.org/drawingml/2006/main">
                <a:graphicData uri="http://schemas.microsoft.com/office/word/2010/wordprocessingShape">
                  <wps:wsp>
                    <wps:cNvSpPr txBox="1"/>
                    <wps:spPr>
                      <a:xfrm>
                        <a:off x="0" y="0"/>
                        <a:ext cx="280035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jc w:val="center"/>
                            <w:rPr>
                              <w:sz w:val="21"/>
                              <w:szCs w:val="21"/>
                            </w:rPr>
                          </w:pPr>
                          <w:r>
                            <w:rPr>
                              <w:sz w:val="21"/>
                              <w:szCs w:val="21"/>
                            </w:rPr>
                            <w:ptab w:relativeTo="margin" w:alignment="center" w:leader="none"/>
                          </w:r>
                          <w:r>
                            <w:rPr>
                              <w:rFonts w:hint="eastAsia"/>
                              <w:sz w:val="21"/>
                              <w:szCs w:val="21"/>
                            </w:rPr>
                            <w:t xml:space="preserve"> </w:t>
                          </w:r>
                          <w:r>
                            <w:rPr>
                              <w:sz w:val="21"/>
                              <w:szCs w:val="21"/>
                            </w:rPr>
                            <w:fldChar w:fldCharType="begin"/>
                          </w:r>
                          <w:r>
                            <w:rPr>
                              <w:sz w:val="21"/>
                              <w:szCs w:val="21"/>
                            </w:rPr>
                            <w:instrText xml:space="preserve"> PAGE  \* MERGEFORMAT </w:instrText>
                          </w:r>
                          <w:r>
                            <w:rPr>
                              <w:sz w:val="21"/>
                              <w:szCs w:val="21"/>
                            </w:rPr>
                            <w:fldChar w:fldCharType="separate"/>
                          </w:r>
                          <w:r>
                            <w:rPr>
                              <w:sz w:val="21"/>
                              <w:szCs w:val="21"/>
                            </w:rPr>
                            <w:t>12</w:t>
                          </w:r>
                          <w:r>
                            <w:rPr>
                              <w:sz w:val="21"/>
                              <w:szCs w:val="21"/>
                            </w:rP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165.35pt;margin-top:6.05pt;height:144pt;width:220.5pt;mso-position-horizontal-relative:margin;z-index:251681792;mso-width-relative:page;mso-height-relative:page;" filled="f" stroked="f" coordsize="21600,21600" o:allowoverlap="f" o:gfxdata="UEsDBAoAAAAAAIdO4kAAAAAAAAAAAAAAAAAEAAAAZHJzL1BLAwQUAAAACACHTuJAs8p4INcAAAAK&#10;AQAADwAAAGRycy9kb3ducmV2LnhtbE2PMU/DMBCFdyT+g3VIbNROKxEU4nRA0AEm0goxXmMnThuf&#10;o9hNC7+eY4Lx7r17971yffGDmO0U+0AasoUCYakJpqdOw277cvcAIiYkg0Mgq+HLRlhX11clFiac&#10;6d3OdeoEh1AsUINLaSykjI2zHuMijJZYa8PkMfE4ddJMeOZwP8ilUvfSY0/8weFon5xtjvXJM8bH&#10;m/Kb79Z9+ldsY+228+b5oPXtTaYeQSR7SX9m+MXnG6iYaR9OZKIYNKxWKmcrC8sMBBvyPOPFnhWl&#10;MpBVKf9XqH4AUEsDBBQAAAAIAIdO4kBH3kkBEgIAAAsEAAAOAAAAZHJzL2Uyb0RvYy54bWytU8uu&#10;0zAQ3SPxD5b3NGkRVVU1vSr3qgip4l6pINau4zSR/MJ2m5QPgD9gxYY939Xv4NhpenmtEBtnPDM5&#10;M3PmeHHTKUmOwvnG6IKORzklQnNTNnpf0Hdv189mlPjAdMmk0aKgJ+HpzfLpk0Vr52JiaiNL4QhA&#10;tJ+3tqB1CHaeZZ7XQjE/MlZoBCvjFAu4un1WOtYCXclskufTrDWutM5w4T28d32QLhN+VQke7qvK&#10;i0BkQdFbSKdL5y6e2XLB5nvHbN3wSxvsH7pQrNEoeoW6Y4GRg2v+gFINd8abKoy4UZmpqoaLNAOm&#10;Gee/TbOtmRVpFpDj7ZUm//9g+ZvjgyNNid1NKdFMYUfnL5/PX7+fv30i8IGg1vo58rYWmaF7aTok&#10;D34PZ5y7q5yKX0xEEAfVpyu9oguEwzmZ5fnzFwhxxMazyQz3iJM9/m6dD6+EUSQaBXXYX6KVHTc+&#10;9KlDSqymzbqRMu1QatIWdBrxf4kAXGrUiEP0zUYrdLvuMtnOlCcM5kyvDW/5ukHxDfPhgTmIAQ1D&#10;4OEeRyUNipiLRUlt3Me/+WM+doQoJS3EVVD/4cCcoES+1theVOJguMHYDYY+qFsDvY7xdCxPJn5w&#10;QQ5m5Yx6D92vYhWEmOaoVdAwmLehlzjeDRerVUqC3iwLG721PEJHkrxdHQIoTMxGWnouLmxBcWk3&#10;l9cRJf3zPWU9vuHl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PKeCDXAAAACgEAAA8AAAAAAAAA&#10;AQAgAAAAIgAAAGRycy9kb3ducmV2LnhtbFBLAQIUABQAAAAIAIdO4kBH3kkBEgIAAAsEAAAOAAAA&#10;AAAAAAEAIAAAACYBAABkcnMvZTJvRG9jLnhtbFBLBQYAAAAABgAGAFkBAACqBQAAAAA=&#10;">
              <v:fill on="f" focussize="0,0"/>
              <v:stroke on="f" weight="0.5pt"/>
              <v:imagedata o:title=""/>
              <o:lock v:ext="edit" aspectratio="f"/>
              <v:textbox inset="0mm,0mm,0mm,0mm" style="mso-fit-shape-to-text:t;">
                <w:txbxContent>
                  <w:p>
                    <w:pPr>
                      <w:pStyle w:val="18"/>
                      <w:jc w:val="center"/>
                      <w:rPr>
                        <w:sz w:val="21"/>
                        <w:szCs w:val="21"/>
                      </w:rPr>
                    </w:pPr>
                    <w:r>
                      <w:rPr>
                        <w:sz w:val="21"/>
                        <w:szCs w:val="21"/>
                      </w:rPr>
                      <w:ptab w:relativeTo="margin" w:alignment="center" w:leader="none"/>
                    </w:r>
                    <w:r>
                      <w:rPr>
                        <w:rFonts w:hint="eastAsia"/>
                        <w:sz w:val="21"/>
                        <w:szCs w:val="21"/>
                      </w:rPr>
                      <w:t xml:space="preserve"> </w:t>
                    </w:r>
                    <w:r>
                      <w:rPr>
                        <w:sz w:val="21"/>
                        <w:szCs w:val="21"/>
                      </w:rPr>
                      <w:fldChar w:fldCharType="begin"/>
                    </w:r>
                    <w:r>
                      <w:rPr>
                        <w:sz w:val="21"/>
                        <w:szCs w:val="21"/>
                      </w:rPr>
                      <w:instrText xml:space="preserve"> PAGE  \* MERGEFORMAT </w:instrText>
                    </w:r>
                    <w:r>
                      <w:rPr>
                        <w:sz w:val="21"/>
                        <w:szCs w:val="21"/>
                      </w:rPr>
                      <w:fldChar w:fldCharType="separate"/>
                    </w:r>
                    <w:r>
                      <w:rPr>
                        <w:sz w:val="21"/>
                        <w:szCs w:val="21"/>
                      </w:rPr>
                      <w:t>12</w:t>
                    </w:r>
                    <w:r>
                      <w:rPr>
                        <w:sz w:val="21"/>
                        <w:szCs w:val="21"/>
                      </w:rPr>
                      <w:fldChar w:fldCharType="end"/>
                    </w:r>
                  </w:p>
                </w:txbxContent>
              </v:textbox>
            </v:shape>
          </w:pict>
        </mc:Fallback>
      </mc:AlternateContent>
    </w:r>
    <w:r>
      <w:drawing>
        <wp:inline distT="0" distB="0" distL="114300" distR="114300">
          <wp:extent cx="1008380" cy="231140"/>
          <wp:effectExtent l="0" t="0" r="7620" b="10160"/>
          <wp:docPr id="59" name="图片 59" descr="安建大png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安建大png文件"/>
                  <pic:cNvPicPr>
                    <a:picLocks noChangeAspect="1"/>
                  </pic:cNvPicPr>
                </pic:nvPicPr>
                <pic:blipFill>
                  <a:blip r:embed="rId1"/>
                  <a:stretch>
                    <a:fillRect/>
                  </a:stretch>
                </pic:blipFill>
                <pic:spPr>
                  <a:xfrm>
                    <a:off x="0" y="0"/>
                    <a:ext cx="1008380" cy="231140"/>
                  </a:xfrm>
                  <a:prstGeom prst="rect">
                    <a:avLst/>
                  </a:prstGeom>
                </pic:spPr>
              </pic:pic>
            </a:graphicData>
          </a:graphic>
        </wp:inline>
      </w:drawing>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top w:val="single" w:color="auto" w:sz="4" w:space="0"/>
      </w:pBdr>
    </w:pPr>
    <w:r>
      <mc:AlternateContent>
        <mc:Choice Requires="wps">
          <w:drawing>
            <wp:anchor distT="0" distB="0" distL="114300" distR="114300" simplePos="0" relativeHeight="251683840" behindDoc="0" locked="0" layoutInCell="1" allowOverlap="0">
              <wp:simplePos x="0" y="0"/>
              <wp:positionH relativeFrom="margin">
                <wp:posOffset>700405</wp:posOffset>
              </wp:positionH>
              <wp:positionV relativeFrom="paragraph">
                <wp:posOffset>75565</wp:posOffset>
              </wp:positionV>
              <wp:extent cx="2809875" cy="1828800"/>
              <wp:effectExtent l="0" t="0" r="9525" b="12065"/>
              <wp:wrapNone/>
              <wp:docPr id="78" name="文本框 78"/>
              <wp:cNvGraphicFramePr/>
              <a:graphic xmlns:a="http://schemas.openxmlformats.org/drawingml/2006/main">
                <a:graphicData uri="http://schemas.microsoft.com/office/word/2010/wordprocessingShape">
                  <wps:wsp>
                    <wps:cNvSpPr txBox="1"/>
                    <wps:spPr>
                      <a:xfrm>
                        <a:off x="0" y="0"/>
                        <a:ext cx="2809875"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8"/>
                            <w:jc w:val="center"/>
                            <w:rPr>
                              <w:sz w:val="21"/>
                              <w:szCs w:val="21"/>
                            </w:rPr>
                          </w:pPr>
                          <w:r>
                            <w:rPr>
                              <w:rFonts w:hint="eastAsia"/>
                              <w:sz w:val="21"/>
                              <w:szCs w:val="21"/>
                            </w:rPr>
                            <w:t xml:space="preserve">                 </w:t>
                          </w:r>
                          <w:r>
                            <w:rPr>
                              <w:sz w:val="21"/>
                              <w:szCs w:val="21"/>
                            </w:rPr>
                            <w:fldChar w:fldCharType="begin"/>
                          </w:r>
                          <w:r>
                            <w:rPr>
                              <w:sz w:val="21"/>
                              <w:szCs w:val="21"/>
                            </w:rPr>
                            <w:instrText xml:space="preserve"> PAGE  \* MERGEFORMAT </w:instrText>
                          </w:r>
                          <w:r>
                            <w:rPr>
                              <w:sz w:val="21"/>
                              <w:szCs w:val="21"/>
                            </w:rPr>
                            <w:fldChar w:fldCharType="separate"/>
                          </w:r>
                          <w:r>
                            <w:rPr>
                              <w:sz w:val="21"/>
                              <w:szCs w:val="21"/>
                            </w:rPr>
                            <w:t>28</w:t>
                          </w:r>
                          <w:r>
                            <w:rPr>
                              <w:sz w:val="21"/>
                              <w:szCs w:val="21"/>
                            </w:rP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55.15pt;margin-top:5.95pt;height:144pt;width:221.25pt;mso-position-horizontal-relative:margin;z-index:251683840;mso-width-relative:page;mso-height-relative:page;" filled="f" stroked="f" coordsize="21600,21600" o:allowoverlap="f" o:gfxdata="UEsDBAoAAAAAAIdO4kAAAAAAAAAAAAAAAAAEAAAAZHJzL1BLAwQUAAAACACHTuJAF3rRbtcAAAAK&#10;AQAADwAAAGRycy9kb3ducmV2LnhtbE2PMU/DMBCFdyT+g3VIbNROUBFJ43RA0AEmUoQYr4kTp8Tn&#10;KHbTwq/nOtHtnu67d+8V65MbxGym0HvSkCwUCEO1b3rqNHxsX+4eQYSI1ODgyWj4MQHW5fVVgXnj&#10;j/Ru5ip2gk0o5KjBxjjmUobaGodh4UdDvGv95DCynDrZTHhkczfIVKkH6bAn/mBxNE/W1N/VwXGM&#10;zzflNr+t/XKv2IbKbufN817r25tErUBEc4r/MJzj8w2UnGnnD9QEMbBO1D2j5yEDwcBymXKXnYY0&#10;yzKQZSEvK5R/UEsDBBQAAAAIAIdO4kAanp0sGAIAAAsEAAAOAAAAZHJzL2Uyb0RvYy54bWytU8uO&#10;0zAU3SPxD5b3NGnRzISq6ajMqAhpxIxUEGvXcZpIfmG7TcoHwB+wmg17vqvfwbHbdBCwQmycm/v0&#10;Ofd4dt0rSXbC+dboko5HOSVCc1O1elPSD++XLwpKfGC6YtJoUdK98PR6/vzZrLNTMTGNkZVwBE20&#10;n3a2pE0IdpplnjdCMT8yVmgEa+MUC/h1m6xyrEN3JbNJnl9mnXGVdYYL7+G9PQbpPPWva8HDfV17&#10;EYgsKe4W0unSuY5nNp+x6cYx27T8dA32D7dQrNUYem51ywIjW9f+0Uq13Blv6jDiRmWmrlsuEgag&#10;Gee/oVk1zIqEBeR4e6bJ/7+2/N3uwZG2KukVNqWZwo4O374eHn8cvn8h8IGgzvop8lYWmaF/bXos&#10;evB7OCPuvnYqfoGIIA6q92d6RR8Ih3NS5K+KqwtKOGLjYlIUeVpA9lRunQ9vhFEkGiV12F+ile3u&#10;fMBVkDqkxGnaLFsp0w6lJl1JL19e5KngHEGF1CiMII6XjVbo1/0J2dpUewBz5qgNb/myxfA75sMD&#10;cxADsEDg4R5HLQ2GmJNFSWPc57/5Yz52hCglHcRVUv9py5ygRL7V2F5U4mC4wVgPht6qGwO9jvF0&#10;LE8mClyQg1k7oz5C94s4BSGmOWaVNAzmTThKHO+Gi8UiJUFvloU7vbI8to70ebvYBlCYmI20HLk4&#10;sQXFJcJPryNK+tf/lPX0huc/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Bd60W7XAAAACgEAAA8A&#10;AAAAAAAAAQAgAAAAIgAAAGRycy9kb3ducmV2LnhtbFBLAQIUABQAAAAIAIdO4kAanp0sGAIAAAsE&#10;AAAOAAAAAAAAAAEAIAAAACYBAABkcnMvZTJvRG9jLnhtbFBLBQYAAAAABgAGAFkBAACwBQAAAAA=&#10;">
              <v:fill on="f" focussize="0,0"/>
              <v:stroke on="f" weight="0.5pt"/>
              <v:imagedata o:title=""/>
              <o:lock v:ext="edit" aspectratio="f"/>
              <v:textbox inset="0mm,0mm,0mm,0mm" style="mso-fit-shape-to-text:t;">
                <w:txbxContent>
                  <w:p>
                    <w:pPr>
                      <w:pStyle w:val="18"/>
                      <w:jc w:val="center"/>
                      <w:rPr>
                        <w:sz w:val="21"/>
                        <w:szCs w:val="21"/>
                      </w:rPr>
                    </w:pPr>
                    <w:r>
                      <w:rPr>
                        <w:rFonts w:hint="eastAsia"/>
                        <w:sz w:val="21"/>
                        <w:szCs w:val="21"/>
                      </w:rPr>
                      <w:t xml:space="preserve">                 </w:t>
                    </w:r>
                    <w:r>
                      <w:rPr>
                        <w:sz w:val="21"/>
                        <w:szCs w:val="21"/>
                      </w:rPr>
                      <w:fldChar w:fldCharType="begin"/>
                    </w:r>
                    <w:r>
                      <w:rPr>
                        <w:sz w:val="21"/>
                        <w:szCs w:val="21"/>
                      </w:rPr>
                      <w:instrText xml:space="preserve"> PAGE  \* MERGEFORMAT </w:instrText>
                    </w:r>
                    <w:r>
                      <w:rPr>
                        <w:sz w:val="21"/>
                        <w:szCs w:val="21"/>
                      </w:rPr>
                      <w:fldChar w:fldCharType="separate"/>
                    </w:r>
                    <w:r>
                      <w:rPr>
                        <w:sz w:val="21"/>
                        <w:szCs w:val="21"/>
                      </w:rPr>
                      <w:t>28</w:t>
                    </w:r>
                    <w:r>
                      <w:rPr>
                        <w:sz w:val="21"/>
                        <w:szCs w:val="21"/>
                      </w:rPr>
                      <w:fldChar w:fldCharType="end"/>
                    </w:r>
                  </w:p>
                </w:txbxContent>
              </v:textbox>
            </v:shape>
          </w:pict>
        </mc:Fallback>
      </mc:AlternateContent>
    </w:r>
    <w:r>
      <w:drawing>
        <wp:inline distT="0" distB="0" distL="114300" distR="114300">
          <wp:extent cx="1008380" cy="231140"/>
          <wp:effectExtent l="0" t="0" r="7620" b="10160"/>
          <wp:docPr id="79" name="图片 79" descr="安建大png文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安建大png文件"/>
                  <pic:cNvPicPr>
                    <a:picLocks noChangeAspect="1"/>
                  </pic:cNvPicPr>
                </pic:nvPicPr>
                <pic:blipFill>
                  <a:blip r:embed="rId1"/>
                  <a:stretch>
                    <a:fillRect/>
                  </a:stretch>
                </pic:blipFill>
                <pic:spPr>
                  <a:xfrm>
                    <a:off x="0" y="0"/>
                    <a:ext cx="1008380" cy="231140"/>
                  </a:xfrm>
                  <a:prstGeom prst="rect">
                    <a:avLst/>
                  </a:prstGeom>
                </pic:spPr>
              </pic:pic>
            </a:graphicData>
          </a:graphic>
        </wp:inline>
      </w:drawing>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
  <w:p/>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thinThickSmallGap" w:color="auto" w:sz="12" w:space="1"/>
      </w:pBdr>
      <w:spacing w:before="768" w:beforeLines="320"/>
      <w:ind w:firstLine="420"/>
      <w:jc w:val="right"/>
      <w:rPr>
        <w:sz w:val="21"/>
        <w:szCs w:val="21"/>
      </w:rPr>
    </w:pPr>
    <w:r>
      <w:rPr>
        <w:rFonts w:hint="eastAsia"/>
        <w:sz w:val="24"/>
        <w:szCs w:val="24"/>
      </w:rPr>
      <w:t>大运河宿州段生态环境保护修复实施方案</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BDB2F49"/>
    <w:multiLevelType w:val="multilevel"/>
    <w:tmpl w:val="2BDB2F49"/>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3DA80780"/>
    <w:multiLevelType w:val="multilevel"/>
    <w:tmpl w:val="3DA80780"/>
    <w:lvl w:ilvl="0" w:tentative="0">
      <w:start w:val="1"/>
      <w:numFmt w:val="decimal"/>
      <w:lvlText w:val="（%1）"/>
      <w:lvlJc w:val="left"/>
      <w:pPr>
        <w:ind w:left="1412"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42015DAF"/>
    <w:multiLevelType w:val="multilevel"/>
    <w:tmpl w:val="42015DAF"/>
    <w:lvl w:ilvl="0" w:tentative="0">
      <w:start w:val="1"/>
      <w:numFmt w:val="decimal"/>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42660E55"/>
    <w:multiLevelType w:val="multilevel"/>
    <w:tmpl w:val="42660E55"/>
    <w:lvl w:ilvl="0" w:tentative="0">
      <w:start w:val="1"/>
      <w:numFmt w:val="decimal"/>
      <w:lvlText w:val="(%1)"/>
      <w:lvlJc w:val="left"/>
      <w:pPr>
        <w:ind w:left="420" w:hanging="420"/>
      </w:pPr>
      <w:rPr>
        <w:rFonts w:hint="default"/>
      </w:rPr>
    </w:lvl>
    <w:lvl w:ilvl="1" w:tentative="0">
      <w:start w:val="1"/>
      <w:numFmt w:val="lowerLetter"/>
      <w:lvlText w:val="%2)"/>
      <w:lvlJc w:val="left"/>
      <w:pPr>
        <w:ind w:left="840" w:hanging="420"/>
      </w:pPr>
    </w:lvl>
    <w:lvl w:ilvl="2" w:tentative="0">
      <w:start w:val="1"/>
      <w:numFmt w:val="decimal"/>
      <w:lvlText w:val="（%3）"/>
      <w:lvlJc w:val="left"/>
      <w:pPr>
        <w:ind w:left="1271" w:hanging="420"/>
      </w:pPr>
      <w:rPr>
        <w:rFonts w:hint="eastAsia"/>
      </w:r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hideSpellingErrors/>
  <w:documentProtection w:enforcement="0"/>
  <w:defaultTabStop w:val="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4BD2"/>
    <w:rsid w:val="0000073B"/>
    <w:rsid w:val="00002CAE"/>
    <w:rsid w:val="00003E25"/>
    <w:rsid w:val="00004506"/>
    <w:rsid w:val="00005BA9"/>
    <w:rsid w:val="000106A9"/>
    <w:rsid w:val="00014F01"/>
    <w:rsid w:val="00017420"/>
    <w:rsid w:val="00020233"/>
    <w:rsid w:val="00026736"/>
    <w:rsid w:val="00034C31"/>
    <w:rsid w:val="0004336C"/>
    <w:rsid w:val="00045391"/>
    <w:rsid w:val="000530EB"/>
    <w:rsid w:val="000539D0"/>
    <w:rsid w:val="000557AF"/>
    <w:rsid w:val="00063BBB"/>
    <w:rsid w:val="0006468D"/>
    <w:rsid w:val="00064FA2"/>
    <w:rsid w:val="000658EE"/>
    <w:rsid w:val="00070B50"/>
    <w:rsid w:val="0007146C"/>
    <w:rsid w:val="000777F2"/>
    <w:rsid w:val="00077900"/>
    <w:rsid w:val="00077C1B"/>
    <w:rsid w:val="00082AB2"/>
    <w:rsid w:val="00084125"/>
    <w:rsid w:val="00084332"/>
    <w:rsid w:val="00084C3B"/>
    <w:rsid w:val="00085E25"/>
    <w:rsid w:val="0008626D"/>
    <w:rsid w:val="0009270D"/>
    <w:rsid w:val="000A49C4"/>
    <w:rsid w:val="000A662F"/>
    <w:rsid w:val="000A6CF0"/>
    <w:rsid w:val="000B3384"/>
    <w:rsid w:val="000B369E"/>
    <w:rsid w:val="000B5798"/>
    <w:rsid w:val="000B6035"/>
    <w:rsid w:val="000C3ECC"/>
    <w:rsid w:val="000C4721"/>
    <w:rsid w:val="000C4C63"/>
    <w:rsid w:val="000C7C7E"/>
    <w:rsid w:val="000D0131"/>
    <w:rsid w:val="000D061D"/>
    <w:rsid w:val="000D28EB"/>
    <w:rsid w:val="000D2C27"/>
    <w:rsid w:val="000D6298"/>
    <w:rsid w:val="000E2ABC"/>
    <w:rsid w:val="000E41BE"/>
    <w:rsid w:val="000E6381"/>
    <w:rsid w:val="000E66E8"/>
    <w:rsid w:val="000E752B"/>
    <w:rsid w:val="000F36C0"/>
    <w:rsid w:val="000F7D46"/>
    <w:rsid w:val="00101A0A"/>
    <w:rsid w:val="00103774"/>
    <w:rsid w:val="00103D57"/>
    <w:rsid w:val="001075B4"/>
    <w:rsid w:val="0011063F"/>
    <w:rsid w:val="00111D69"/>
    <w:rsid w:val="00117D1A"/>
    <w:rsid w:val="00120432"/>
    <w:rsid w:val="00121D6B"/>
    <w:rsid w:val="0012599F"/>
    <w:rsid w:val="00135285"/>
    <w:rsid w:val="001364A9"/>
    <w:rsid w:val="00141946"/>
    <w:rsid w:val="001427E5"/>
    <w:rsid w:val="00147DF1"/>
    <w:rsid w:val="00150A1A"/>
    <w:rsid w:val="00151D34"/>
    <w:rsid w:val="001524CC"/>
    <w:rsid w:val="00153439"/>
    <w:rsid w:val="00153B29"/>
    <w:rsid w:val="00154C44"/>
    <w:rsid w:val="00156C82"/>
    <w:rsid w:val="00156F91"/>
    <w:rsid w:val="0016064F"/>
    <w:rsid w:val="0016094E"/>
    <w:rsid w:val="001614E7"/>
    <w:rsid w:val="00161511"/>
    <w:rsid w:val="00163E5B"/>
    <w:rsid w:val="00164B5A"/>
    <w:rsid w:val="00164E2E"/>
    <w:rsid w:val="001676F1"/>
    <w:rsid w:val="00170B1D"/>
    <w:rsid w:val="00170FCF"/>
    <w:rsid w:val="00171367"/>
    <w:rsid w:val="00172639"/>
    <w:rsid w:val="00175A6F"/>
    <w:rsid w:val="001817A1"/>
    <w:rsid w:val="00185405"/>
    <w:rsid w:val="00186CF0"/>
    <w:rsid w:val="00191A2F"/>
    <w:rsid w:val="001928F9"/>
    <w:rsid w:val="0019472E"/>
    <w:rsid w:val="001A02B2"/>
    <w:rsid w:val="001A35A6"/>
    <w:rsid w:val="001A4333"/>
    <w:rsid w:val="001A4911"/>
    <w:rsid w:val="001A5C47"/>
    <w:rsid w:val="001B5EDA"/>
    <w:rsid w:val="001C279C"/>
    <w:rsid w:val="001C3C4F"/>
    <w:rsid w:val="001C4F46"/>
    <w:rsid w:val="001C5003"/>
    <w:rsid w:val="001C58FB"/>
    <w:rsid w:val="001D31BB"/>
    <w:rsid w:val="001D5517"/>
    <w:rsid w:val="001D6253"/>
    <w:rsid w:val="001E5425"/>
    <w:rsid w:val="001E6D2A"/>
    <w:rsid w:val="001F0520"/>
    <w:rsid w:val="001F27F2"/>
    <w:rsid w:val="001F3687"/>
    <w:rsid w:val="001F3746"/>
    <w:rsid w:val="00203979"/>
    <w:rsid w:val="00204B8F"/>
    <w:rsid w:val="00204DCA"/>
    <w:rsid w:val="00207F03"/>
    <w:rsid w:val="0022012B"/>
    <w:rsid w:val="00224BBF"/>
    <w:rsid w:val="00225C12"/>
    <w:rsid w:val="002309C5"/>
    <w:rsid w:val="00240BFC"/>
    <w:rsid w:val="00243057"/>
    <w:rsid w:val="0024377D"/>
    <w:rsid w:val="002447EE"/>
    <w:rsid w:val="002518E2"/>
    <w:rsid w:val="00264177"/>
    <w:rsid w:val="00264BA8"/>
    <w:rsid w:val="00271B6D"/>
    <w:rsid w:val="0027510D"/>
    <w:rsid w:val="00282559"/>
    <w:rsid w:val="00284953"/>
    <w:rsid w:val="00285B08"/>
    <w:rsid w:val="00286330"/>
    <w:rsid w:val="00290D32"/>
    <w:rsid w:val="00293514"/>
    <w:rsid w:val="00293D95"/>
    <w:rsid w:val="00294546"/>
    <w:rsid w:val="0029516D"/>
    <w:rsid w:val="002A4595"/>
    <w:rsid w:val="002A4FFC"/>
    <w:rsid w:val="002A6E82"/>
    <w:rsid w:val="002A7770"/>
    <w:rsid w:val="002B0E53"/>
    <w:rsid w:val="002B0FF1"/>
    <w:rsid w:val="002B5C10"/>
    <w:rsid w:val="002B5EC3"/>
    <w:rsid w:val="002B61D5"/>
    <w:rsid w:val="002C1C0A"/>
    <w:rsid w:val="002C2F2B"/>
    <w:rsid w:val="002C3A20"/>
    <w:rsid w:val="002C77ED"/>
    <w:rsid w:val="002D243E"/>
    <w:rsid w:val="002D6A43"/>
    <w:rsid w:val="002E4834"/>
    <w:rsid w:val="002E6804"/>
    <w:rsid w:val="002F2B81"/>
    <w:rsid w:val="002F6237"/>
    <w:rsid w:val="00300596"/>
    <w:rsid w:val="00305159"/>
    <w:rsid w:val="003116B8"/>
    <w:rsid w:val="00315AB6"/>
    <w:rsid w:val="0032522F"/>
    <w:rsid w:val="0032660F"/>
    <w:rsid w:val="00330AB2"/>
    <w:rsid w:val="00331738"/>
    <w:rsid w:val="0033461F"/>
    <w:rsid w:val="00336514"/>
    <w:rsid w:val="003369BF"/>
    <w:rsid w:val="00340A27"/>
    <w:rsid w:val="00342C2E"/>
    <w:rsid w:val="00343085"/>
    <w:rsid w:val="0034517A"/>
    <w:rsid w:val="00350B8A"/>
    <w:rsid w:val="00350D0B"/>
    <w:rsid w:val="003528C5"/>
    <w:rsid w:val="003626DF"/>
    <w:rsid w:val="00364177"/>
    <w:rsid w:val="0036449B"/>
    <w:rsid w:val="003731F5"/>
    <w:rsid w:val="00381254"/>
    <w:rsid w:val="0038158A"/>
    <w:rsid w:val="00382E98"/>
    <w:rsid w:val="00385958"/>
    <w:rsid w:val="0039312E"/>
    <w:rsid w:val="003A16D3"/>
    <w:rsid w:val="003A2526"/>
    <w:rsid w:val="003A51E1"/>
    <w:rsid w:val="003B3674"/>
    <w:rsid w:val="003B5994"/>
    <w:rsid w:val="003B5F68"/>
    <w:rsid w:val="003C075C"/>
    <w:rsid w:val="003C43B4"/>
    <w:rsid w:val="003C771A"/>
    <w:rsid w:val="003D0A66"/>
    <w:rsid w:val="003D2AB2"/>
    <w:rsid w:val="003D5CE9"/>
    <w:rsid w:val="003E74D3"/>
    <w:rsid w:val="003F30D6"/>
    <w:rsid w:val="0040287F"/>
    <w:rsid w:val="00403712"/>
    <w:rsid w:val="004133E0"/>
    <w:rsid w:val="00413F13"/>
    <w:rsid w:val="004169BD"/>
    <w:rsid w:val="00417141"/>
    <w:rsid w:val="00417747"/>
    <w:rsid w:val="004220C1"/>
    <w:rsid w:val="0042556A"/>
    <w:rsid w:val="00434CEF"/>
    <w:rsid w:val="00440842"/>
    <w:rsid w:val="00443887"/>
    <w:rsid w:val="00443977"/>
    <w:rsid w:val="00445D10"/>
    <w:rsid w:val="0045059D"/>
    <w:rsid w:val="004505E5"/>
    <w:rsid w:val="0045779B"/>
    <w:rsid w:val="00466821"/>
    <w:rsid w:val="004672FB"/>
    <w:rsid w:val="00470FFD"/>
    <w:rsid w:val="00471C0D"/>
    <w:rsid w:val="00481AED"/>
    <w:rsid w:val="00485B5D"/>
    <w:rsid w:val="00487FC3"/>
    <w:rsid w:val="0049255E"/>
    <w:rsid w:val="004945D2"/>
    <w:rsid w:val="00495C03"/>
    <w:rsid w:val="004A2D6F"/>
    <w:rsid w:val="004A3082"/>
    <w:rsid w:val="004A3C22"/>
    <w:rsid w:val="004A4B5F"/>
    <w:rsid w:val="004A514A"/>
    <w:rsid w:val="004A789F"/>
    <w:rsid w:val="004B15B0"/>
    <w:rsid w:val="004B353F"/>
    <w:rsid w:val="004B65FA"/>
    <w:rsid w:val="004C07E9"/>
    <w:rsid w:val="004C12A0"/>
    <w:rsid w:val="004C1EFA"/>
    <w:rsid w:val="004C52CD"/>
    <w:rsid w:val="004D0260"/>
    <w:rsid w:val="004D2C12"/>
    <w:rsid w:val="004D5DDB"/>
    <w:rsid w:val="004E2861"/>
    <w:rsid w:val="004E4106"/>
    <w:rsid w:val="004E51B9"/>
    <w:rsid w:val="004E75AD"/>
    <w:rsid w:val="004F3137"/>
    <w:rsid w:val="004F519B"/>
    <w:rsid w:val="00506047"/>
    <w:rsid w:val="00507147"/>
    <w:rsid w:val="005078C9"/>
    <w:rsid w:val="00514459"/>
    <w:rsid w:val="005171B4"/>
    <w:rsid w:val="00517FF3"/>
    <w:rsid w:val="00524E14"/>
    <w:rsid w:val="00524E3F"/>
    <w:rsid w:val="0053458C"/>
    <w:rsid w:val="00534CAE"/>
    <w:rsid w:val="00537694"/>
    <w:rsid w:val="00540666"/>
    <w:rsid w:val="00540756"/>
    <w:rsid w:val="00544D2B"/>
    <w:rsid w:val="00550140"/>
    <w:rsid w:val="0055044A"/>
    <w:rsid w:val="00550A5B"/>
    <w:rsid w:val="00551EC9"/>
    <w:rsid w:val="005553E7"/>
    <w:rsid w:val="005564C2"/>
    <w:rsid w:val="005641C6"/>
    <w:rsid w:val="0056714F"/>
    <w:rsid w:val="00567B99"/>
    <w:rsid w:val="005756B4"/>
    <w:rsid w:val="00577F61"/>
    <w:rsid w:val="005803D7"/>
    <w:rsid w:val="0058222B"/>
    <w:rsid w:val="00583F9E"/>
    <w:rsid w:val="00584368"/>
    <w:rsid w:val="00587753"/>
    <w:rsid w:val="00592471"/>
    <w:rsid w:val="00592614"/>
    <w:rsid w:val="0059446D"/>
    <w:rsid w:val="005971DE"/>
    <w:rsid w:val="00597354"/>
    <w:rsid w:val="005A0EC6"/>
    <w:rsid w:val="005B11A2"/>
    <w:rsid w:val="005B49F0"/>
    <w:rsid w:val="005C276F"/>
    <w:rsid w:val="005C33E6"/>
    <w:rsid w:val="005C47E5"/>
    <w:rsid w:val="005C4F5C"/>
    <w:rsid w:val="005C5261"/>
    <w:rsid w:val="005C6681"/>
    <w:rsid w:val="005D32C7"/>
    <w:rsid w:val="005D4144"/>
    <w:rsid w:val="005D576B"/>
    <w:rsid w:val="005E1ABC"/>
    <w:rsid w:val="005E4FF8"/>
    <w:rsid w:val="005E6B14"/>
    <w:rsid w:val="005F0714"/>
    <w:rsid w:val="005F0A18"/>
    <w:rsid w:val="005F40C6"/>
    <w:rsid w:val="005F42AB"/>
    <w:rsid w:val="006001E9"/>
    <w:rsid w:val="00604127"/>
    <w:rsid w:val="006048D6"/>
    <w:rsid w:val="00606E0C"/>
    <w:rsid w:val="00615A11"/>
    <w:rsid w:val="00620ADB"/>
    <w:rsid w:val="0062136A"/>
    <w:rsid w:val="00622F9F"/>
    <w:rsid w:val="00624CBF"/>
    <w:rsid w:val="00625275"/>
    <w:rsid w:val="00632002"/>
    <w:rsid w:val="00635D39"/>
    <w:rsid w:val="0064382E"/>
    <w:rsid w:val="00646CCA"/>
    <w:rsid w:val="00650A37"/>
    <w:rsid w:val="00656702"/>
    <w:rsid w:val="006640C1"/>
    <w:rsid w:val="00665BFB"/>
    <w:rsid w:val="00666A04"/>
    <w:rsid w:val="006674B1"/>
    <w:rsid w:val="00676672"/>
    <w:rsid w:val="00676B50"/>
    <w:rsid w:val="0068151D"/>
    <w:rsid w:val="0068511F"/>
    <w:rsid w:val="0068546B"/>
    <w:rsid w:val="00693F68"/>
    <w:rsid w:val="00695F81"/>
    <w:rsid w:val="00696C40"/>
    <w:rsid w:val="00697496"/>
    <w:rsid w:val="0069788E"/>
    <w:rsid w:val="006A0028"/>
    <w:rsid w:val="006A2E0A"/>
    <w:rsid w:val="006C0B3D"/>
    <w:rsid w:val="006C0FC0"/>
    <w:rsid w:val="006C369A"/>
    <w:rsid w:val="006C3A55"/>
    <w:rsid w:val="006C3ADD"/>
    <w:rsid w:val="006C3BA7"/>
    <w:rsid w:val="006D3CD9"/>
    <w:rsid w:val="006D71D9"/>
    <w:rsid w:val="006E0335"/>
    <w:rsid w:val="006E2033"/>
    <w:rsid w:val="006E5C2C"/>
    <w:rsid w:val="006E79BB"/>
    <w:rsid w:val="006F3A3C"/>
    <w:rsid w:val="006F458A"/>
    <w:rsid w:val="00710985"/>
    <w:rsid w:val="00712A5F"/>
    <w:rsid w:val="007148BF"/>
    <w:rsid w:val="00717568"/>
    <w:rsid w:val="00742E2F"/>
    <w:rsid w:val="00745862"/>
    <w:rsid w:val="007522ED"/>
    <w:rsid w:val="0075338F"/>
    <w:rsid w:val="007539FF"/>
    <w:rsid w:val="00753E11"/>
    <w:rsid w:val="00755FE4"/>
    <w:rsid w:val="007628C1"/>
    <w:rsid w:val="007642CB"/>
    <w:rsid w:val="00764537"/>
    <w:rsid w:val="00764812"/>
    <w:rsid w:val="00765992"/>
    <w:rsid w:val="00765C3A"/>
    <w:rsid w:val="00767928"/>
    <w:rsid w:val="007723D7"/>
    <w:rsid w:val="00775809"/>
    <w:rsid w:val="0077664B"/>
    <w:rsid w:val="0077706A"/>
    <w:rsid w:val="0077766F"/>
    <w:rsid w:val="0078093C"/>
    <w:rsid w:val="00781827"/>
    <w:rsid w:val="00782963"/>
    <w:rsid w:val="00783119"/>
    <w:rsid w:val="0078462C"/>
    <w:rsid w:val="00787FC4"/>
    <w:rsid w:val="00790997"/>
    <w:rsid w:val="00790D0C"/>
    <w:rsid w:val="0079581C"/>
    <w:rsid w:val="007A10AF"/>
    <w:rsid w:val="007A16FB"/>
    <w:rsid w:val="007A1BAD"/>
    <w:rsid w:val="007A6B8D"/>
    <w:rsid w:val="007B147A"/>
    <w:rsid w:val="007C0A2A"/>
    <w:rsid w:val="007C6EF5"/>
    <w:rsid w:val="007C711D"/>
    <w:rsid w:val="007D1455"/>
    <w:rsid w:val="007D1775"/>
    <w:rsid w:val="007D37C9"/>
    <w:rsid w:val="007D3C5C"/>
    <w:rsid w:val="007D439C"/>
    <w:rsid w:val="007D6356"/>
    <w:rsid w:val="007D6FCA"/>
    <w:rsid w:val="007E18AC"/>
    <w:rsid w:val="007E52CE"/>
    <w:rsid w:val="007F143C"/>
    <w:rsid w:val="007F23E3"/>
    <w:rsid w:val="007F44B3"/>
    <w:rsid w:val="007F545A"/>
    <w:rsid w:val="007F798D"/>
    <w:rsid w:val="008032A5"/>
    <w:rsid w:val="008043EB"/>
    <w:rsid w:val="00804731"/>
    <w:rsid w:val="00805A01"/>
    <w:rsid w:val="008174A4"/>
    <w:rsid w:val="0081757B"/>
    <w:rsid w:val="0082081F"/>
    <w:rsid w:val="00820F51"/>
    <w:rsid w:val="00825A43"/>
    <w:rsid w:val="00830586"/>
    <w:rsid w:val="008310CF"/>
    <w:rsid w:val="00845FDC"/>
    <w:rsid w:val="008560BA"/>
    <w:rsid w:val="00862A43"/>
    <w:rsid w:val="00870D91"/>
    <w:rsid w:val="0087168B"/>
    <w:rsid w:val="0087275D"/>
    <w:rsid w:val="00874065"/>
    <w:rsid w:val="00874776"/>
    <w:rsid w:val="00876A2F"/>
    <w:rsid w:val="00887817"/>
    <w:rsid w:val="00893C28"/>
    <w:rsid w:val="008942F6"/>
    <w:rsid w:val="00896BF2"/>
    <w:rsid w:val="008A226F"/>
    <w:rsid w:val="008A4150"/>
    <w:rsid w:val="008A6E43"/>
    <w:rsid w:val="008B188B"/>
    <w:rsid w:val="008B38EA"/>
    <w:rsid w:val="008B5A69"/>
    <w:rsid w:val="008B5BA9"/>
    <w:rsid w:val="008B63F6"/>
    <w:rsid w:val="008C0603"/>
    <w:rsid w:val="008C38F4"/>
    <w:rsid w:val="008C41EC"/>
    <w:rsid w:val="008C7688"/>
    <w:rsid w:val="008D0A96"/>
    <w:rsid w:val="008D1E17"/>
    <w:rsid w:val="008D57FE"/>
    <w:rsid w:val="008F2866"/>
    <w:rsid w:val="008F3402"/>
    <w:rsid w:val="008F6D41"/>
    <w:rsid w:val="00904918"/>
    <w:rsid w:val="00910845"/>
    <w:rsid w:val="00911EE1"/>
    <w:rsid w:val="00914026"/>
    <w:rsid w:val="00924DEB"/>
    <w:rsid w:val="009316C9"/>
    <w:rsid w:val="00931EB3"/>
    <w:rsid w:val="00932720"/>
    <w:rsid w:val="0093353F"/>
    <w:rsid w:val="00944BD2"/>
    <w:rsid w:val="009474C6"/>
    <w:rsid w:val="00947B39"/>
    <w:rsid w:val="00952484"/>
    <w:rsid w:val="00957ED8"/>
    <w:rsid w:val="009614B6"/>
    <w:rsid w:val="00962192"/>
    <w:rsid w:val="009663B2"/>
    <w:rsid w:val="009673C1"/>
    <w:rsid w:val="009738BB"/>
    <w:rsid w:val="00976C90"/>
    <w:rsid w:val="0098147C"/>
    <w:rsid w:val="00981D58"/>
    <w:rsid w:val="009854D7"/>
    <w:rsid w:val="00990E97"/>
    <w:rsid w:val="009910B3"/>
    <w:rsid w:val="009961A5"/>
    <w:rsid w:val="009A0207"/>
    <w:rsid w:val="009A298F"/>
    <w:rsid w:val="009A343B"/>
    <w:rsid w:val="009A77FF"/>
    <w:rsid w:val="009B2304"/>
    <w:rsid w:val="009C25C4"/>
    <w:rsid w:val="009C3A7A"/>
    <w:rsid w:val="009C45FC"/>
    <w:rsid w:val="009C4CB8"/>
    <w:rsid w:val="009C4E86"/>
    <w:rsid w:val="009C54CA"/>
    <w:rsid w:val="009D3D0C"/>
    <w:rsid w:val="009E41C8"/>
    <w:rsid w:val="009E5706"/>
    <w:rsid w:val="009F1DC3"/>
    <w:rsid w:val="009F4597"/>
    <w:rsid w:val="009F73B4"/>
    <w:rsid w:val="00A01136"/>
    <w:rsid w:val="00A06299"/>
    <w:rsid w:val="00A11A2A"/>
    <w:rsid w:val="00A17EA3"/>
    <w:rsid w:val="00A22728"/>
    <w:rsid w:val="00A279AC"/>
    <w:rsid w:val="00A31E7A"/>
    <w:rsid w:val="00A350E4"/>
    <w:rsid w:val="00A439D8"/>
    <w:rsid w:val="00A5728F"/>
    <w:rsid w:val="00A64B01"/>
    <w:rsid w:val="00A66D30"/>
    <w:rsid w:val="00A74924"/>
    <w:rsid w:val="00A77FE6"/>
    <w:rsid w:val="00A81E32"/>
    <w:rsid w:val="00A83F27"/>
    <w:rsid w:val="00A856AB"/>
    <w:rsid w:val="00A86B1B"/>
    <w:rsid w:val="00A879AC"/>
    <w:rsid w:val="00A9154B"/>
    <w:rsid w:val="00A91A17"/>
    <w:rsid w:val="00A97F5F"/>
    <w:rsid w:val="00AA61F6"/>
    <w:rsid w:val="00AB1D71"/>
    <w:rsid w:val="00AB2302"/>
    <w:rsid w:val="00AB3D7B"/>
    <w:rsid w:val="00AC02A2"/>
    <w:rsid w:val="00AC05ED"/>
    <w:rsid w:val="00AC4155"/>
    <w:rsid w:val="00AC49E8"/>
    <w:rsid w:val="00AC70CC"/>
    <w:rsid w:val="00AD28BF"/>
    <w:rsid w:val="00AD32A3"/>
    <w:rsid w:val="00AD4F04"/>
    <w:rsid w:val="00AE4F61"/>
    <w:rsid w:val="00AE5174"/>
    <w:rsid w:val="00AF5644"/>
    <w:rsid w:val="00AF7F5A"/>
    <w:rsid w:val="00B015F1"/>
    <w:rsid w:val="00B01E8E"/>
    <w:rsid w:val="00B01EC6"/>
    <w:rsid w:val="00B040CF"/>
    <w:rsid w:val="00B069F2"/>
    <w:rsid w:val="00B14829"/>
    <w:rsid w:val="00B16BA7"/>
    <w:rsid w:val="00B16C28"/>
    <w:rsid w:val="00B20FBE"/>
    <w:rsid w:val="00B2439C"/>
    <w:rsid w:val="00B27E16"/>
    <w:rsid w:val="00B3244B"/>
    <w:rsid w:val="00B3373D"/>
    <w:rsid w:val="00B33C6E"/>
    <w:rsid w:val="00B34600"/>
    <w:rsid w:val="00B36B88"/>
    <w:rsid w:val="00B52213"/>
    <w:rsid w:val="00B5496E"/>
    <w:rsid w:val="00B55BB1"/>
    <w:rsid w:val="00B63C6F"/>
    <w:rsid w:val="00B641CA"/>
    <w:rsid w:val="00B7408E"/>
    <w:rsid w:val="00B762C9"/>
    <w:rsid w:val="00B83DB2"/>
    <w:rsid w:val="00B86B0C"/>
    <w:rsid w:val="00B94163"/>
    <w:rsid w:val="00B9666F"/>
    <w:rsid w:val="00BA608A"/>
    <w:rsid w:val="00BB0FBE"/>
    <w:rsid w:val="00BB383A"/>
    <w:rsid w:val="00BB49F6"/>
    <w:rsid w:val="00BB528B"/>
    <w:rsid w:val="00BB5568"/>
    <w:rsid w:val="00BB5910"/>
    <w:rsid w:val="00BB5EA8"/>
    <w:rsid w:val="00BB65E8"/>
    <w:rsid w:val="00BB6BB9"/>
    <w:rsid w:val="00BC4B62"/>
    <w:rsid w:val="00BD0B09"/>
    <w:rsid w:val="00BE2D0F"/>
    <w:rsid w:val="00BE6344"/>
    <w:rsid w:val="00BE6D9E"/>
    <w:rsid w:val="00BF1B50"/>
    <w:rsid w:val="00BF4359"/>
    <w:rsid w:val="00BF444A"/>
    <w:rsid w:val="00BF4E7F"/>
    <w:rsid w:val="00BF5552"/>
    <w:rsid w:val="00C00B7A"/>
    <w:rsid w:val="00C03974"/>
    <w:rsid w:val="00C04992"/>
    <w:rsid w:val="00C05373"/>
    <w:rsid w:val="00C106C1"/>
    <w:rsid w:val="00C124F7"/>
    <w:rsid w:val="00C130A0"/>
    <w:rsid w:val="00C15079"/>
    <w:rsid w:val="00C152F3"/>
    <w:rsid w:val="00C16EDB"/>
    <w:rsid w:val="00C2052D"/>
    <w:rsid w:val="00C20C49"/>
    <w:rsid w:val="00C2183D"/>
    <w:rsid w:val="00C23594"/>
    <w:rsid w:val="00C31EAF"/>
    <w:rsid w:val="00C33768"/>
    <w:rsid w:val="00C35EAF"/>
    <w:rsid w:val="00C370A4"/>
    <w:rsid w:val="00C378A5"/>
    <w:rsid w:val="00C42E49"/>
    <w:rsid w:val="00C44462"/>
    <w:rsid w:val="00C44E4E"/>
    <w:rsid w:val="00C51576"/>
    <w:rsid w:val="00C52C12"/>
    <w:rsid w:val="00C56313"/>
    <w:rsid w:val="00C56E08"/>
    <w:rsid w:val="00C57DA7"/>
    <w:rsid w:val="00C62EB2"/>
    <w:rsid w:val="00C657CC"/>
    <w:rsid w:val="00C66114"/>
    <w:rsid w:val="00C66C39"/>
    <w:rsid w:val="00C73584"/>
    <w:rsid w:val="00C73D0D"/>
    <w:rsid w:val="00C751D7"/>
    <w:rsid w:val="00C92343"/>
    <w:rsid w:val="00C954D0"/>
    <w:rsid w:val="00C95E82"/>
    <w:rsid w:val="00C97897"/>
    <w:rsid w:val="00CA337A"/>
    <w:rsid w:val="00CA74F6"/>
    <w:rsid w:val="00CB049F"/>
    <w:rsid w:val="00CB0CCB"/>
    <w:rsid w:val="00CB0D60"/>
    <w:rsid w:val="00CB0E00"/>
    <w:rsid w:val="00CB1C38"/>
    <w:rsid w:val="00CC4D09"/>
    <w:rsid w:val="00CD35E2"/>
    <w:rsid w:val="00CD5BE2"/>
    <w:rsid w:val="00CD5FBF"/>
    <w:rsid w:val="00CD788E"/>
    <w:rsid w:val="00CD78F0"/>
    <w:rsid w:val="00CE08BF"/>
    <w:rsid w:val="00CE7AE8"/>
    <w:rsid w:val="00CF0611"/>
    <w:rsid w:val="00CF4763"/>
    <w:rsid w:val="00CF752C"/>
    <w:rsid w:val="00D05C20"/>
    <w:rsid w:val="00D079A5"/>
    <w:rsid w:val="00D10E5C"/>
    <w:rsid w:val="00D13213"/>
    <w:rsid w:val="00D22035"/>
    <w:rsid w:val="00D22CDE"/>
    <w:rsid w:val="00D23AE4"/>
    <w:rsid w:val="00D3102D"/>
    <w:rsid w:val="00D321FF"/>
    <w:rsid w:val="00D33D1B"/>
    <w:rsid w:val="00D377DA"/>
    <w:rsid w:val="00D4190B"/>
    <w:rsid w:val="00D41B1E"/>
    <w:rsid w:val="00D434B1"/>
    <w:rsid w:val="00D446EB"/>
    <w:rsid w:val="00D53DD7"/>
    <w:rsid w:val="00D57527"/>
    <w:rsid w:val="00D6111E"/>
    <w:rsid w:val="00D64BCB"/>
    <w:rsid w:val="00D67E70"/>
    <w:rsid w:val="00D707A5"/>
    <w:rsid w:val="00D71D5D"/>
    <w:rsid w:val="00D7494E"/>
    <w:rsid w:val="00D74AF4"/>
    <w:rsid w:val="00D75A99"/>
    <w:rsid w:val="00D80BDF"/>
    <w:rsid w:val="00D8103A"/>
    <w:rsid w:val="00D82D64"/>
    <w:rsid w:val="00D83151"/>
    <w:rsid w:val="00D860FA"/>
    <w:rsid w:val="00D916FB"/>
    <w:rsid w:val="00D97CC3"/>
    <w:rsid w:val="00DA0859"/>
    <w:rsid w:val="00DA7EDE"/>
    <w:rsid w:val="00DB3338"/>
    <w:rsid w:val="00DB43C4"/>
    <w:rsid w:val="00DC36A0"/>
    <w:rsid w:val="00DC511C"/>
    <w:rsid w:val="00DD600C"/>
    <w:rsid w:val="00DE55CF"/>
    <w:rsid w:val="00DE5C15"/>
    <w:rsid w:val="00DE62FB"/>
    <w:rsid w:val="00DE6CA0"/>
    <w:rsid w:val="00DF00CA"/>
    <w:rsid w:val="00DF6427"/>
    <w:rsid w:val="00DF6A5A"/>
    <w:rsid w:val="00DF7E3D"/>
    <w:rsid w:val="00DF7FE2"/>
    <w:rsid w:val="00E033BA"/>
    <w:rsid w:val="00E107C2"/>
    <w:rsid w:val="00E123E5"/>
    <w:rsid w:val="00E12959"/>
    <w:rsid w:val="00E21C27"/>
    <w:rsid w:val="00E22801"/>
    <w:rsid w:val="00E22F43"/>
    <w:rsid w:val="00E2304C"/>
    <w:rsid w:val="00E235E6"/>
    <w:rsid w:val="00E237E0"/>
    <w:rsid w:val="00E2659F"/>
    <w:rsid w:val="00E26984"/>
    <w:rsid w:val="00E32FC3"/>
    <w:rsid w:val="00E3325C"/>
    <w:rsid w:val="00E34065"/>
    <w:rsid w:val="00E4004D"/>
    <w:rsid w:val="00E4337F"/>
    <w:rsid w:val="00E501DF"/>
    <w:rsid w:val="00E53A70"/>
    <w:rsid w:val="00E55683"/>
    <w:rsid w:val="00E55D3D"/>
    <w:rsid w:val="00E60A66"/>
    <w:rsid w:val="00E6483B"/>
    <w:rsid w:val="00E703CF"/>
    <w:rsid w:val="00E73C50"/>
    <w:rsid w:val="00E81C2D"/>
    <w:rsid w:val="00E83DF2"/>
    <w:rsid w:val="00E902A8"/>
    <w:rsid w:val="00E92A13"/>
    <w:rsid w:val="00EB0647"/>
    <w:rsid w:val="00EB29E0"/>
    <w:rsid w:val="00EB327A"/>
    <w:rsid w:val="00EB60B0"/>
    <w:rsid w:val="00EB7880"/>
    <w:rsid w:val="00EC5C72"/>
    <w:rsid w:val="00EC7707"/>
    <w:rsid w:val="00EC7B73"/>
    <w:rsid w:val="00ED160C"/>
    <w:rsid w:val="00ED54CC"/>
    <w:rsid w:val="00ED767F"/>
    <w:rsid w:val="00EE34B0"/>
    <w:rsid w:val="00EF008A"/>
    <w:rsid w:val="00EF5455"/>
    <w:rsid w:val="00F02355"/>
    <w:rsid w:val="00F03651"/>
    <w:rsid w:val="00F03B18"/>
    <w:rsid w:val="00F03DB4"/>
    <w:rsid w:val="00F07012"/>
    <w:rsid w:val="00F22CCE"/>
    <w:rsid w:val="00F23216"/>
    <w:rsid w:val="00F24985"/>
    <w:rsid w:val="00F274A0"/>
    <w:rsid w:val="00F27739"/>
    <w:rsid w:val="00F32F6A"/>
    <w:rsid w:val="00F37976"/>
    <w:rsid w:val="00F4477D"/>
    <w:rsid w:val="00F46461"/>
    <w:rsid w:val="00F46D7B"/>
    <w:rsid w:val="00F47FF0"/>
    <w:rsid w:val="00F61284"/>
    <w:rsid w:val="00F629C3"/>
    <w:rsid w:val="00F66675"/>
    <w:rsid w:val="00F70313"/>
    <w:rsid w:val="00F71B08"/>
    <w:rsid w:val="00F728D3"/>
    <w:rsid w:val="00F73467"/>
    <w:rsid w:val="00F803EA"/>
    <w:rsid w:val="00F82470"/>
    <w:rsid w:val="00F86056"/>
    <w:rsid w:val="00F90D87"/>
    <w:rsid w:val="00F92323"/>
    <w:rsid w:val="00F97D4C"/>
    <w:rsid w:val="00FA04F5"/>
    <w:rsid w:val="00FA1DCE"/>
    <w:rsid w:val="00FA53DF"/>
    <w:rsid w:val="00FB1119"/>
    <w:rsid w:val="00FB616A"/>
    <w:rsid w:val="00FB76F3"/>
    <w:rsid w:val="00FB779E"/>
    <w:rsid w:val="00FC07DF"/>
    <w:rsid w:val="00FC0AD5"/>
    <w:rsid w:val="00FC7E8D"/>
    <w:rsid w:val="00FD317F"/>
    <w:rsid w:val="00FD476C"/>
    <w:rsid w:val="00FD5C45"/>
    <w:rsid w:val="00FE1EF6"/>
    <w:rsid w:val="00FE559F"/>
    <w:rsid w:val="00FF4A3A"/>
    <w:rsid w:val="00FF6BA7"/>
    <w:rsid w:val="01985B4E"/>
    <w:rsid w:val="026C0527"/>
    <w:rsid w:val="037756DE"/>
    <w:rsid w:val="147C4422"/>
    <w:rsid w:val="1BD73EBF"/>
    <w:rsid w:val="203020F1"/>
    <w:rsid w:val="2A7128AD"/>
    <w:rsid w:val="44E407A1"/>
    <w:rsid w:val="53DC0FD1"/>
    <w:rsid w:val="628A1264"/>
    <w:rsid w:val="65054BA5"/>
    <w:rsid w:val="7C5A61AE"/>
    <w:rsid w:val="7E3B0D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9"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qFormat="1"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99" w:semiHidden="0"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uiPriority="99" w:name="Body Text First Indent"/>
    <w:lsdException w:qFormat="1" w:uiPriority="99" w:semiHidden="0" w:name="Body Text First Indent 2"/>
    <w:lsdException w:uiPriority="99" w:name="Note Heading"/>
    <w:lsdException w:uiPriority="99" w:name="Body Text 2"/>
    <w:lsdException w:uiPriority="99" w:name="Body Text 3"/>
    <w:lsdException w:qFormat="1" w:unhideWhenUsed="0" w:uiPriority="99"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0" w:semiHidden="0" w:name="Strong"/>
    <w:lsdException w:qFormat="1" w:unhideWhenUsed="0" w:uiPriority="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35"/>
    <w:qFormat/>
    <w:uiPriority w:val="0"/>
    <w:pPr>
      <w:keepNext/>
      <w:keepLines/>
      <w:spacing w:before="60" w:beforeLines="60" w:after="60" w:afterLines="60" w:line="360" w:lineRule="auto"/>
      <w:jc w:val="center"/>
      <w:outlineLvl w:val="0"/>
    </w:pPr>
    <w:rPr>
      <w:b/>
      <w:bCs/>
      <w:kern w:val="44"/>
      <w:sz w:val="32"/>
      <w:szCs w:val="44"/>
    </w:rPr>
  </w:style>
  <w:style w:type="paragraph" w:styleId="4">
    <w:name w:val="heading 2"/>
    <w:basedOn w:val="1"/>
    <w:next w:val="1"/>
    <w:link w:val="37"/>
    <w:qFormat/>
    <w:uiPriority w:val="0"/>
    <w:pPr>
      <w:keepNext/>
      <w:keepLines/>
      <w:spacing w:before="100" w:beforeLines="100" w:after="100" w:afterLines="100" w:line="360" w:lineRule="auto"/>
      <w:outlineLvl w:val="1"/>
    </w:pPr>
    <w:rPr>
      <w:rFonts w:eastAsia="黑体"/>
      <w:b/>
      <w:bCs/>
      <w:color w:val="000000" w:themeColor="text1"/>
      <w:sz w:val="30"/>
      <w:szCs w:val="32"/>
      <w14:textFill>
        <w14:solidFill>
          <w14:schemeClr w14:val="tx1"/>
        </w14:solidFill>
      </w14:textFill>
    </w:rPr>
  </w:style>
  <w:style w:type="paragraph" w:styleId="5">
    <w:name w:val="heading 3"/>
    <w:basedOn w:val="1"/>
    <w:next w:val="1"/>
    <w:link w:val="39"/>
    <w:qFormat/>
    <w:uiPriority w:val="0"/>
    <w:pPr>
      <w:keepNext/>
      <w:keepLines/>
      <w:spacing w:before="260" w:after="260" w:line="416" w:lineRule="auto"/>
      <w:outlineLvl w:val="2"/>
    </w:pPr>
    <w:rPr>
      <w:b/>
      <w:bCs/>
      <w:sz w:val="32"/>
      <w:szCs w:val="32"/>
    </w:rPr>
  </w:style>
  <w:style w:type="paragraph" w:styleId="6">
    <w:name w:val="heading 4"/>
    <w:basedOn w:val="1"/>
    <w:next w:val="1"/>
    <w:link w:val="40"/>
    <w:qFormat/>
    <w:uiPriority w:val="9"/>
    <w:pPr>
      <w:keepNext/>
      <w:keepLines/>
      <w:tabs>
        <w:tab w:val="left" w:pos="1431"/>
      </w:tabs>
      <w:spacing w:before="20" w:beforeLines="20" w:after="20" w:afterLines="20" w:line="360" w:lineRule="auto"/>
      <w:outlineLvl w:val="3"/>
    </w:pPr>
    <w:rPr>
      <w:rFonts w:ascii="Arial" w:hAnsi="Arial" w:eastAsia="Times New Roman"/>
      <w:b/>
      <w:sz w:val="28"/>
      <w:szCs w:val="20"/>
    </w:rPr>
  </w:style>
  <w:style w:type="paragraph" w:styleId="7">
    <w:name w:val="heading 5"/>
    <w:basedOn w:val="1"/>
    <w:next w:val="1"/>
    <w:link w:val="41"/>
    <w:qFormat/>
    <w:uiPriority w:val="0"/>
    <w:pPr>
      <w:keepNext/>
      <w:keepLines/>
      <w:tabs>
        <w:tab w:val="left" w:pos="1575"/>
      </w:tabs>
      <w:spacing w:before="280" w:after="290" w:line="372" w:lineRule="auto"/>
      <w:ind w:left="1575" w:hanging="1008"/>
      <w:outlineLvl w:val="4"/>
    </w:pPr>
    <w:rPr>
      <w:b/>
      <w:sz w:val="28"/>
      <w:szCs w:val="20"/>
    </w:rPr>
  </w:style>
  <w:style w:type="paragraph" w:styleId="8">
    <w:name w:val="heading 6"/>
    <w:basedOn w:val="1"/>
    <w:next w:val="1"/>
    <w:link w:val="42"/>
    <w:qFormat/>
    <w:uiPriority w:val="0"/>
    <w:pPr>
      <w:keepNext/>
      <w:keepLines/>
      <w:tabs>
        <w:tab w:val="left" w:pos="1719"/>
      </w:tabs>
      <w:spacing w:before="240" w:after="64" w:line="317" w:lineRule="auto"/>
      <w:ind w:left="1719" w:hanging="1152"/>
      <w:outlineLvl w:val="5"/>
    </w:pPr>
    <w:rPr>
      <w:rFonts w:ascii="Arial" w:hAnsi="Arial" w:eastAsia="黑体"/>
      <w:b/>
      <w:sz w:val="24"/>
      <w:szCs w:val="20"/>
    </w:rPr>
  </w:style>
  <w:style w:type="paragraph" w:styleId="9">
    <w:name w:val="heading 7"/>
    <w:basedOn w:val="1"/>
    <w:next w:val="1"/>
    <w:link w:val="43"/>
    <w:qFormat/>
    <w:uiPriority w:val="0"/>
    <w:pPr>
      <w:keepNext/>
      <w:keepLines/>
      <w:tabs>
        <w:tab w:val="left" w:pos="1863"/>
      </w:tabs>
      <w:spacing w:before="240" w:after="64" w:line="317" w:lineRule="auto"/>
      <w:ind w:left="1863" w:hanging="1296"/>
      <w:outlineLvl w:val="6"/>
    </w:pPr>
    <w:rPr>
      <w:b/>
      <w:sz w:val="24"/>
      <w:szCs w:val="20"/>
    </w:rPr>
  </w:style>
  <w:style w:type="paragraph" w:styleId="10">
    <w:name w:val="heading 8"/>
    <w:basedOn w:val="1"/>
    <w:next w:val="1"/>
    <w:link w:val="44"/>
    <w:qFormat/>
    <w:uiPriority w:val="0"/>
    <w:pPr>
      <w:keepNext/>
      <w:keepLines/>
      <w:tabs>
        <w:tab w:val="left" w:pos="2007"/>
      </w:tabs>
      <w:spacing w:before="240" w:after="64" w:line="317" w:lineRule="auto"/>
      <w:ind w:left="2007" w:hanging="1440"/>
      <w:outlineLvl w:val="7"/>
    </w:pPr>
    <w:rPr>
      <w:rFonts w:ascii="Arial" w:hAnsi="Arial" w:eastAsia="黑体"/>
      <w:sz w:val="24"/>
      <w:szCs w:val="20"/>
    </w:rPr>
  </w:style>
  <w:style w:type="paragraph" w:styleId="11">
    <w:name w:val="heading 9"/>
    <w:basedOn w:val="1"/>
    <w:next w:val="1"/>
    <w:link w:val="45"/>
    <w:qFormat/>
    <w:uiPriority w:val="0"/>
    <w:pPr>
      <w:keepNext/>
      <w:keepLines/>
      <w:tabs>
        <w:tab w:val="left" w:pos="2151"/>
      </w:tabs>
      <w:spacing w:before="240" w:after="64" w:line="317" w:lineRule="auto"/>
      <w:ind w:left="2151" w:hanging="1584"/>
      <w:outlineLvl w:val="8"/>
    </w:pPr>
    <w:rPr>
      <w:rFonts w:ascii="Arial" w:hAnsi="Arial" w:eastAsia="黑体"/>
      <w:szCs w:val="20"/>
    </w:rPr>
  </w:style>
  <w:style w:type="character" w:default="1" w:styleId="30">
    <w:name w:val="Default Paragraph Font"/>
    <w:semiHidden/>
    <w:unhideWhenUsed/>
    <w:qFormat/>
    <w:uiPriority w:val="1"/>
  </w:style>
  <w:style w:type="table" w:default="1" w:styleId="28">
    <w:name w:val="Normal Table"/>
    <w:semiHidden/>
    <w:unhideWhenUsed/>
    <w:uiPriority w:val="99"/>
    <w:tblPr>
      <w:tblLayout w:type="fixed"/>
      <w:tblCellMar>
        <w:top w:w="0" w:type="dxa"/>
        <w:left w:w="108" w:type="dxa"/>
        <w:bottom w:w="0" w:type="dxa"/>
        <w:right w:w="108" w:type="dxa"/>
      </w:tblCellMar>
    </w:tblPr>
  </w:style>
  <w:style w:type="paragraph" w:styleId="2">
    <w:name w:val="Body Text Indent 2"/>
    <w:basedOn w:val="1"/>
    <w:link w:val="68"/>
    <w:qFormat/>
    <w:uiPriority w:val="99"/>
    <w:pPr>
      <w:spacing w:after="120" w:line="480" w:lineRule="auto"/>
      <w:ind w:left="420" w:leftChars="200"/>
    </w:pPr>
    <w:rPr>
      <w:kern w:val="0"/>
      <w:sz w:val="20"/>
    </w:rPr>
  </w:style>
  <w:style w:type="paragraph" w:styleId="12">
    <w:name w:val="Normal Indent"/>
    <w:basedOn w:val="1"/>
    <w:link w:val="58"/>
    <w:qFormat/>
    <w:uiPriority w:val="0"/>
    <w:pPr>
      <w:ind w:firstLine="420" w:firstLineChars="200"/>
    </w:pPr>
    <w:rPr>
      <w:rFonts w:ascii="Calibri" w:hAnsi="Calibri" w:eastAsia="微软雅黑"/>
      <w:sz w:val="20"/>
      <w:szCs w:val="20"/>
    </w:rPr>
  </w:style>
  <w:style w:type="paragraph" w:styleId="13">
    <w:name w:val="annotation text"/>
    <w:basedOn w:val="1"/>
    <w:link w:val="66"/>
    <w:semiHidden/>
    <w:unhideWhenUsed/>
    <w:qFormat/>
    <w:uiPriority w:val="99"/>
    <w:pPr>
      <w:jc w:val="left"/>
    </w:pPr>
  </w:style>
  <w:style w:type="paragraph" w:styleId="14">
    <w:name w:val="Body Text"/>
    <w:basedOn w:val="1"/>
    <w:link w:val="55"/>
    <w:unhideWhenUsed/>
    <w:qFormat/>
    <w:uiPriority w:val="99"/>
    <w:pPr>
      <w:widowControl/>
      <w:adjustRightInd w:val="0"/>
      <w:snapToGrid w:val="0"/>
      <w:spacing w:after="120" w:line="360" w:lineRule="auto"/>
      <w:jc w:val="left"/>
    </w:pPr>
    <w:rPr>
      <w:rFonts w:ascii="Tahoma" w:hAnsi="Tahoma" w:eastAsia="微软雅黑"/>
      <w:kern w:val="0"/>
      <w:sz w:val="22"/>
      <w:szCs w:val="22"/>
    </w:rPr>
  </w:style>
  <w:style w:type="paragraph" w:styleId="15">
    <w:name w:val="Body Text Indent"/>
    <w:basedOn w:val="1"/>
    <w:link w:val="48"/>
    <w:semiHidden/>
    <w:unhideWhenUsed/>
    <w:qFormat/>
    <w:uiPriority w:val="99"/>
    <w:pPr>
      <w:spacing w:after="120"/>
      <w:ind w:left="420" w:leftChars="200"/>
    </w:pPr>
  </w:style>
  <w:style w:type="paragraph" w:styleId="16">
    <w:name w:val="toc 3"/>
    <w:basedOn w:val="1"/>
    <w:next w:val="1"/>
    <w:unhideWhenUsed/>
    <w:qFormat/>
    <w:uiPriority w:val="39"/>
    <w:pPr>
      <w:ind w:left="840" w:leftChars="400"/>
    </w:pPr>
    <w:rPr>
      <w:sz w:val="28"/>
    </w:rPr>
  </w:style>
  <w:style w:type="paragraph" w:styleId="17">
    <w:name w:val="Balloon Text"/>
    <w:basedOn w:val="1"/>
    <w:link w:val="52"/>
    <w:semiHidden/>
    <w:unhideWhenUsed/>
    <w:qFormat/>
    <w:uiPriority w:val="99"/>
    <w:rPr>
      <w:sz w:val="18"/>
      <w:szCs w:val="18"/>
    </w:rPr>
  </w:style>
  <w:style w:type="paragraph" w:styleId="18">
    <w:name w:val="footer"/>
    <w:basedOn w:val="1"/>
    <w:link w:val="51"/>
    <w:unhideWhenUsed/>
    <w:qFormat/>
    <w:uiPriority w:val="99"/>
    <w:pPr>
      <w:tabs>
        <w:tab w:val="center" w:pos="4153"/>
        <w:tab w:val="right" w:pos="8306"/>
      </w:tabs>
      <w:snapToGrid w:val="0"/>
      <w:jc w:val="left"/>
    </w:pPr>
    <w:rPr>
      <w:sz w:val="18"/>
      <w:szCs w:val="18"/>
    </w:rPr>
  </w:style>
  <w:style w:type="paragraph" w:styleId="19">
    <w:name w:val="header"/>
    <w:basedOn w:val="1"/>
    <w:link w:val="50"/>
    <w:unhideWhenUsed/>
    <w:qFormat/>
    <w:uiPriority w:val="99"/>
    <w:pPr>
      <w:pBdr>
        <w:bottom w:val="single" w:color="auto" w:sz="6" w:space="1"/>
      </w:pBdr>
      <w:tabs>
        <w:tab w:val="center" w:pos="4153"/>
        <w:tab w:val="right" w:pos="8306"/>
      </w:tabs>
      <w:snapToGrid w:val="0"/>
      <w:jc w:val="center"/>
    </w:pPr>
    <w:rPr>
      <w:sz w:val="18"/>
      <w:szCs w:val="18"/>
    </w:rPr>
  </w:style>
  <w:style w:type="paragraph" w:styleId="20">
    <w:name w:val="toc 1"/>
    <w:basedOn w:val="1"/>
    <w:next w:val="1"/>
    <w:unhideWhenUsed/>
    <w:qFormat/>
    <w:uiPriority w:val="39"/>
    <w:rPr>
      <w:b/>
      <w:sz w:val="28"/>
    </w:rPr>
  </w:style>
  <w:style w:type="paragraph" w:styleId="21">
    <w:name w:val="toc 4"/>
    <w:basedOn w:val="1"/>
    <w:next w:val="1"/>
    <w:semiHidden/>
    <w:unhideWhenUsed/>
    <w:qFormat/>
    <w:uiPriority w:val="39"/>
    <w:pPr>
      <w:ind w:left="1260" w:leftChars="600"/>
    </w:pPr>
  </w:style>
  <w:style w:type="paragraph" w:styleId="22">
    <w:name w:val="Subtitle"/>
    <w:basedOn w:val="1"/>
    <w:next w:val="1"/>
    <w:link w:val="47"/>
    <w:qFormat/>
    <w:uiPriority w:val="0"/>
    <w:pPr>
      <w:spacing w:before="240" w:after="60" w:line="312" w:lineRule="auto"/>
      <w:jc w:val="center"/>
      <w:outlineLvl w:val="1"/>
    </w:pPr>
    <w:rPr>
      <w:rFonts w:ascii="Cambria" w:hAnsi="Cambria"/>
      <w:b/>
      <w:bCs/>
      <w:kern w:val="28"/>
      <w:sz w:val="32"/>
      <w:szCs w:val="32"/>
    </w:rPr>
  </w:style>
  <w:style w:type="paragraph" w:styleId="23">
    <w:name w:val="toc 2"/>
    <w:basedOn w:val="1"/>
    <w:next w:val="1"/>
    <w:unhideWhenUsed/>
    <w:qFormat/>
    <w:uiPriority w:val="39"/>
    <w:pPr>
      <w:ind w:left="420" w:leftChars="200"/>
    </w:pPr>
    <w:rPr>
      <w:sz w:val="28"/>
    </w:rPr>
  </w:style>
  <w:style w:type="paragraph" w:styleId="24">
    <w:name w:val="Normal (Web)"/>
    <w:basedOn w:val="1"/>
    <w:unhideWhenUsed/>
    <w:qFormat/>
    <w:uiPriority w:val="99"/>
    <w:pPr>
      <w:widowControl/>
      <w:jc w:val="left"/>
    </w:pPr>
    <w:rPr>
      <w:rFonts w:ascii="宋体" w:hAnsi="宋体" w:cs="宋体"/>
      <w:kern w:val="0"/>
      <w:sz w:val="24"/>
    </w:rPr>
  </w:style>
  <w:style w:type="paragraph" w:styleId="25">
    <w:name w:val="Title"/>
    <w:basedOn w:val="1"/>
    <w:next w:val="1"/>
    <w:link w:val="46"/>
    <w:qFormat/>
    <w:uiPriority w:val="0"/>
    <w:pPr>
      <w:spacing w:before="50" w:beforeLines="50" w:after="50" w:afterLines="50" w:line="360" w:lineRule="auto"/>
      <w:ind w:left="150" w:leftChars="150"/>
      <w:jc w:val="left"/>
      <w:outlineLvl w:val="2"/>
    </w:pPr>
    <w:rPr>
      <w:b/>
      <w:color w:val="000000" w:themeColor="text1"/>
      <w:sz w:val="28"/>
      <w:szCs w:val="28"/>
      <w14:textFill>
        <w14:solidFill>
          <w14:schemeClr w14:val="tx1"/>
        </w14:solidFill>
      </w14:textFill>
    </w:rPr>
  </w:style>
  <w:style w:type="paragraph" w:styleId="26">
    <w:name w:val="annotation subject"/>
    <w:basedOn w:val="13"/>
    <w:next w:val="13"/>
    <w:link w:val="67"/>
    <w:semiHidden/>
    <w:unhideWhenUsed/>
    <w:qFormat/>
    <w:uiPriority w:val="99"/>
    <w:rPr>
      <w:b/>
      <w:bCs/>
    </w:rPr>
  </w:style>
  <w:style w:type="paragraph" w:styleId="27">
    <w:name w:val="Body Text First Indent 2"/>
    <w:basedOn w:val="15"/>
    <w:link w:val="49"/>
    <w:unhideWhenUsed/>
    <w:qFormat/>
    <w:uiPriority w:val="99"/>
    <w:pPr>
      <w:ind w:firstLine="420" w:firstLineChars="200"/>
    </w:pPr>
    <w:rPr>
      <w:rFonts w:ascii="宋体" w:hAnsi="宋体"/>
      <w:lang w:val="zh-CN"/>
    </w:rPr>
  </w:style>
  <w:style w:type="table" w:styleId="29">
    <w:name w:val="Table Grid"/>
    <w:basedOn w:val="2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styleId="31">
    <w:name w:val="Strong"/>
    <w:qFormat/>
    <w:uiPriority w:val="0"/>
    <w:rPr>
      <w:b/>
      <w:bCs/>
    </w:rPr>
  </w:style>
  <w:style w:type="character" w:styleId="32">
    <w:name w:val="line number"/>
    <w:basedOn w:val="30"/>
    <w:semiHidden/>
    <w:unhideWhenUsed/>
    <w:qFormat/>
    <w:uiPriority w:val="99"/>
  </w:style>
  <w:style w:type="character" w:styleId="33">
    <w:name w:val="Hyperlink"/>
    <w:basedOn w:val="30"/>
    <w:unhideWhenUsed/>
    <w:qFormat/>
    <w:uiPriority w:val="99"/>
    <w:rPr>
      <w:color w:val="0000FF" w:themeColor="hyperlink"/>
      <w:u w:val="single"/>
      <w14:textFill>
        <w14:solidFill>
          <w14:schemeClr w14:val="hlink"/>
        </w14:solidFill>
      </w14:textFill>
    </w:rPr>
  </w:style>
  <w:style w:type="character" w:styleId="34">
    <w:name w:val="annotation reference"/>
    <w:basedOn w:val="30"/>
    <w:semiHidden/>
    <w:unhideWhenUsed/>
    <w:qFormat/>
    <w:uiPriority w:val="99"/>
    <w:rPr>
      <w:sz w:val="21"/>
      <w:szCs w:val="21"/>
    </w:rPr>
  </w:style>
  <w:style w:type="character" w:customStyle="1" w:styleId="35">
    <w:name w:val="标题 1 Char"/>
    <w:link w:val="3"/>
    <w:qFormat/>
    <w:uiPriority w:val="0"/>
    <w:rPr>
      <w:b/>
      <w:bCs/>
      <w:kern w:val="44"/>
      <w:sz w:val="32"/>
      <w:szCs w:val="44"/>
    </w:rPr>
  </w:style>
  <w:style w:type="character" w:customStyle="1" w:styleId="36">
    <w:name w:val="标题 2 Char"/>
    <w:basedOn w:val="30"/>
    <w:semiHidden/>
    <w:qFormat/>
    <w:uiPriority w:val="9"/>
    <w:rPr>
      <w:rFonts w:asciiTheme="majorHAnsi" w:hAnsiTheme="majorHAnsi" w:eastAsiaTheme="majorEastAsia" w:cstheme="majorBidi"/>
      <w:b/>
      <w:bCs/>
      <w:kern w:val="2"/>
      <w:sz w:val="32"/>
      <w:szCs w:val="32"/>
    </w:rPr>
  </w:style>
  <w:style w:type="character" w:customStyle="1" w:styleId="37">
    <w:name w:val="标题 2 Char1"/>
    <w:link w:val="4"/>
    <w:qFormat/>
    <w:uiPriority w:val="0"/>
    <w:rPr>
      <w:rFonts w:hAnsi="Times New Roman" w:eastAsia="黑体"/>
      <w:b/>
      <w:bCs/>
      <w:color w:val="000000" w:themeColor="text1"/>
      <w:kern w:val="2"/>
      <w:sz w:val="30"/>
      <w:szCs w:val="32"/>
      <w14:textFill>
        <w14:solidFill>
          <w14:schemeClr w14:val="tx1"/>
        </w14:solidFill>
      </w14:textFill>
    </w:rPr>
  </w:style>
  <w:style w:type="character" w:customStyle="1" w:styleId="38">
    <w:name w:val="标题 3 Char"/>
    <w:basedOn w:val="30"/>
    <w:qFormat/>
    <w:uiPriority w:val="0"/>
    <w:rPr>
      <w:b/>
      <w:bCs/>
      <w:kern w:val="2"/>
      <w:sz w:val="32"/>
      <w:szCs w:val="32"/>
    </w:rPr>
  </w:style>
  <w:style w:type="character" w:customStyle="1" w:styleId="39">
    <w:name w:val="标题 3 Char1"/>
    <w:link w:val="5"/>
    <w:qFormat/>
    <w:uiPriority w:val="0"/>
    <w:rPr>
      <w:b/>
      <w:bCs/>
      <w:kern w:val="2"/>
      <w:sz w:val="32"/>
      <w:szCs w:val="32"/>
    </w:rPr>
  </w:style>
  <w:style w:type="character" w:customStyle="1" w:styleId="40">
    <w:name w:val="标题 4 Char"/>
    <w:basedOn w:val="30"/>
    <w:link w:val="6"/>
    <w:qFormat/>
    <w:uiPriority w:val="9"/>
    <w:rPr>
      <w:rFonts w:ascii="Arial" w:hAnsi="Arial" w:eastAsia="Times New Roman"/>
      <w:b/>
      <w:kern w:val="2"/>
      <w:sz w:val="28"/>
    </w:rPr>
  </w:style>
  <w:style w:type="character" w:customStyle="1" w:styleId="41">
    <w:name w:val="标题 5 Char"/>
    <w:basedOn w:val="30"/>
    <w:link w:val="7"/>
    <w:qFormat/>
    <w:uiPriority w:val="0"/>
    <w:rPr>
      <w:b/>
      <w:kern w:val="2"/>
      <w:sz w:val="28"/>
    </w:rPr>
  </w:style>
  <w:style w:type="character" w:customStyle="1" w:styleId="42">
    <w:name w:val="标题 6 Char"/>
    <w:basedOn w:val="30"/>
    <w:link w:val="8"/>
    <w:qFormat/>
    <w:uiPriority w:val="0"/>
    <w:rPr>
      <w:rFonts w:ascii="Arial" w:hAnsi="Arial" w:eastAsia="黑体"/>
      <w:b/>
      <w:kern w:val="2"/>
      <w:sz w:val="24"/>
    </w:rPr>
  </w:style>
  <w:style w:type="character" w:customStyle="1" w:styleId="43">
    <w:name w:val="标题 7 Char"/>
    <w:basedOn w:val="30"/>
    <w:link w:val="9"/>
    <w:qFormat/>
    <w:uiPriority w:val="0"/>
    <w:rPr>
      <w:b/>
      <w:kern w:val="2"/>
      <w:sz w:val="24"/>
    </w:rPr>
  </w:style>
  <w:style w:type="character" w:customStyle="1" w:styleId="44">
    <w:name w:val="标题 8 Char"/>
    <w:basedOn w:val="30"/>
    <w:link w:val="10"/>
    <w:qFormat/>
    <w:uiPriority w:val="0"/>
    <w:rPr>
      <w:rFonts w:ascii="Arial" w:hAnsi="Arial" w:eastAsia="黑体"/>
      <w:kern w:val="2"/>
      <w:sz w:val="24"/>
    </w:rPr>
  </w:style>
  <w:style w:type="character" w:customStyle="1" w:styleId="45">
    <w:name w:val="标题 9 Char"/>
    <w:basedOn w:val="30"/>
    <w:link w:val="11"/>
    <w:qFormat/>
    <w:uiPriority w:val="0"/>
    <w:rPr>
      <w:rFonts w:ascii="Arial" w:hAnsi="Arial" w:eastAsia="黑体"/>
      <w:kern w:val="2"/>
      <w:sz w:val="21"/>
    </w:rPr>
  </w:style>
  <w:style w:type="character" w:customStyle="1" w:styleId="46">
    <w:name w:val="标题 Char"/>
    <w:link w:val="25"/>
    <w:qFormat/>
    <w:uiPriority w:val="0"/>
    <w:rPr>
      <w:b/>
      <w:color w:val="000000" w:themeColor="text1"/>
      <w:kern w:val="2"/>
      <w:sz w:val="28"/>
      <w:szCs w:val="28"/>
      <w14:textFill>
        <w14:solidFill>
          <w14:schemeClr w14:val="tx1"/>
        </w14:solidFill>
      </w14:textFill>
    </w:rPr>
  </w:style>
  <w:style w:type="character" w:customStyle="1" w:styleId="47">
    <w:name w:val="副标题 Char"/>
    <w:link w:val="22"/>
    <w:qFormat/>
    <w:uiPriority w:val="0"/>
    <w:rPr>
      <w:rFonts w:ascii="Cambria" w:hAnsi="Cambria"/>
      <w:b/>
      <w:bCs/>
      <w:kern w:val="28"/>
      <w:sz w:val="32"/>
      <w:szCs w:val="32"/>
    </w:rPr>
  </w:style>
  <w:style w:type="character" w:customStyle="1" w:styleId="48">
    <w:name w:val="正文文本缩进 Char"/>
    <w:basedOn w:val="30"/>
    <w:link w:val="15"/>
    <w:semiHidden/>
    <w:qFormat/>
    <w:uiPriority w:val="99"/>
    <w:rPr>
      <w:kern w:val="2"/>
      <w:sz w:val="21"/>
      <w:szCs w:val="24"/>
    </w:rPr>
  </w:style>
  <w:style w:type="character" w:customStyle="1" w:styleId="49">
    <w:name w:val="正文首行缩进 2 Char"/>
    <w:link w:val="27"/>
    <w:qFormat/>
    <w:uiPriority w:val="99"/>
    <w:rPr>
      <w:rFonts w:ascii="宋体" w:hAnsi="宋体"/>
      <w:kern w:val="2"/>
      <w:sz w:val="21"/>
      <w:szCs w:val="24"/>
      <w:lang w:val="zh-CN"/>
    </w:rPr>
  </w:style>
  <w:style w:type="character" w:customStyle="1" w:styleId="50">
    <w:name w:val="页眉 Char"/>
    <w:basedOn w:val="30"/>
    <w:link w:val="19"/>
    <w:qFormat/>
    <w:uiPriority w:val="99"/>
    <w:rPr>
      <w:kern w:val="2"/>
      <w:sz w:val="18"/>
      <w:szCs w:val="18"/>
    </w:rPr>
  </w:style>
  <w:style w:type="character" w:customStyle="1" w:styleId="51">
    <w:name w:val="页脚 Char"/>
    <w:basedOn w:val="30"/>
    <w:link w:val="18"/>
    <w:qFormat/>
    <w:uiPriority w:val="99"/>
    <w:rPr>
      <w:kern w:val="2"/>
      <w:sz w:val="18"/>
      <w:szCs w:val="18"/>
    </w:rPr>
  </w:style>
  <w:style w:type="character" w:customStyle="1" w:styleId="52">
    <w:name w:val="批注框文本 Char"/>
    <w:basedOn w:val="30"/>
    <w:link w:val="17"/>
    <w:semiHidden/>
    <w:qFormat/>
    <w:uiPriority w:val="99"/>
    <w:rPr>
      <w:kern w:val="2"/>
      <w:sz w:val="18"/>
      <w:szCs w:val="18"/>
    </w:rPr>
  </w:style>
  <w:style w:type="character" w:customStyle="1" w:styleId="53">
    <w:name w:val="样式1 Char"/>
    <w:link w:val="54"/>
    <w:qFormat/>
    <w:uiPriority w:val="0"/>
    <w:rPr>
      <w:rFonts w:ascii="宋体" w:hAnsi="宋体" w:eastAsia="黑体"/>
      <w:b/>
      <w:sz w:val="28"/>
      <w:szCs w:val="28"/>
    </w:rPr>
  </w:style>
  <w:style w:type="paragraph" w:customStyle="1" w:styleId="54">
    <w:name w:val="样式1"/>
    <w:basedOn w:val="1"/>
    <w:next w:val="1"/>
    <w:link w:val="53"/>
    <w:qFormat/>
    <w:uiPriority w:val="0"/>
    <w:pPr>
      <w:widowControl/>
      <w:adjustRightInd w:val="0"/>
      <w:snapToGrid w:val="0"/>
      <w:spacing w:line="360" w:lineRule="auto"/>
      <w:ind w:firstLine="560"/>
      <w:jc w:val="left"/>
    </w:pPr>
    <w:rPr>
      <w:rFonts w:ascii="宋体" w:hAnsi="宋体" w:eastAsia="黑体"/>
      <w:b/>
      <w:kern w:val="0"/>
      <w:sz w:val="28"/>
      <w:szCs w:val="28"/>
    </w:rPr>
  </w:style>
  <w:style w:type="character" w:customStyle="1" w:styleId="55">
    <w:name w:val="正文文本 Char"/>
    <w:link w:val="14"/>
    <w:qFormat/>
    <w:uiPriority w:val="99"/>
    <w:rPr>
      <w:rFonts w:ascii="Tahoma" w:hAnsi="Tahoma" w:eastAsia="微软雅黑"/>
      <w:sz w:val="22"/>
      <w:szCs w:val="22"/>
    </w:rPr>
  </w:style>
  <w:style w:type="character" w:customStyle="1" w:styleId="56">
    <w:name w:val="正文文本 Char1"/>
    <w:basedOn w:val="30"/>
    <w:semiHidden/>
    <w:qFormat/>
    <w:uiPriority w:val="99"/>
    <w:rPr>
      <w:kern w:val="2"/>
      <w:sz w:val="21"/>
      <w:szCs w:val="24"/>
    </w:rPr>
  </w:style>
  <w:style w:type="paragraph" w:customStyle="1" w:styleId="57">
    <w:name w:val="Table Paragraph"/>
    <w:basedOn w:val="1"/>
    <w:qFormat/>
    <w:uiPriority w:val="1"/>
    <w:pPr>
      <w:widowControl/>
      <w:adjustRightInd w:val="0"/>
      <w:snapToGrid w:val="0"/>
      <w:spacing w:line="360" w:lineRule="auto"/>
      <w:jc w:val="center"/>
    </w:pPr>
    <w:rPr>
      <w:rFonts w:ascii="宋体" w:hAnsi="宋体" w:cs="宋体"/>
      <w:kern w:val="0"/>
      <w:sz w:val="28"/>
      <w:szCs w:val="22"/>
      <w:lang w:val="zh-CN" w:bidi="zh-CN"/>
    </w:rPr>
  </w:style>
  <w:style w:type="character" w:customStyle="1" w:styleId="58">
    <w:name w:val="正文缩进 Char"/>
    <w:link w:val="12"/>
    <w:qFormat/>
    <w:uiPriority w:val="0"/>
    <w:rPr>
      <w:rFonts w:ascii="Calibri" w:hAnsi="Calibri" w:eastAsia="微软雅黑"/>
      <w:kern w:val="2"/>
    </w:rPr>
  </w:style>
  <w:style w:type="paragraph" w:styleId="59">
    <w:name w:val="List Paragraph"/>
    <w:basedOn w:val="1"/>
    <w:qFormat/>
    <w:uiPriority w:val="99"/>
    <w:pPr>
      <w:ind w:left="720"/>
      <w:contextualSpacing/>
    </w:pPr>
    <w:rPr>
      <w:rFonts w:ascii="Calibri" w:hAnsi="Calibri" w:eastAsia="微软雅黑"/>
      <w:sz w:val="20"/>
      <w:szCs w:val="20"/>
    </w:rPr>
  </w:style>
  <w:style w:type="paragraph" w:customStyle="1" w:styleId="60">
    <w:name w:val="海河课题标题2"/>
    <w:basedOn w:val="5"/>
    <w:qFormat/>
    <w:uiPriority w:val="99"/>
    <w:pPr>
      <w:adjustRightInd w:val="0"/>
      <w:snapToGrid w:val="0"/>
      <w:spacing w:before="240" w:beforeLines="150" w:after="60" w:afterLines="50" w:line="360" w:lineRule="auto"/>
      <w:outlineLvl w:val="1"/>
    </w:pPr>
    <w:rPr>
      <w:rFonts w:eastAsia="仿宋_GB2312"/>
      <w:bCs w:val="0"/>
      <w:kern w:val="0"/>
      <w:szCs w:val="28"/>
    </w:rPr>
  </w:style>
  <w:style w:type="paragraph" w:customStyle="1" w:styleId="61">
    <w:name w:val="Default"/>
    <w:qFormat/>
    <w:uiPriority w:val="0"/>
    <w:pPr>
      <w:widowControl w:val="0"/>
      <w:autoSpaceDE w:val="0"/>
      <w:autoSpaceDN w:val="0"/>
      <w:adjustRightInd w:val="0"/>
    </w:pPr>
    <w:rPr>
      <w:rFonts w:ascii="微软雅黑" w:hAnsi="Times New Roman" w:eastAsia="微软雅黑" w:cs="微软雅黑"/>
      <w:color w:val="000000"/>
      <w:sz w:val="24"/>
      <w:szCs w:val="24"/>
      <w:lang w:val="en-US" w:eastAsia="zh-CN" w:bidi="ar-SA"/>
    </w:rPr>
  </w:style>
  <w:style w:type="character" w:customStyle="1" w:styleId="62">
    <w:name w:val="15"/>
    <w:basedOn w:val="30"/>
    <w:qFormat/>
    <w:uiPriority w:val="0"/>
  </w:style>
  <w:style w:type="table" w:customStyle="1" w:styleId="63">
    <w:name w:val="网格型5"/>
    <w:basedOn w:val="28"/>
    <w:qFormat/>
    <w:uiPriority w:val="59"/>
    <w:rPr>
      <w:rFonts w:asciiTheme="minorHAnsi" w:hAnsiTheme="minorHAnsi" w:eastAsiaTheme="minorEastAsia" w:cstheme="minorBidi"/>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paragraph" w:styleId="64">
    <w:name w:val="No Spacing"/>
    <w:link w:val="65"/>
    <w:qFormat/>
    <w:uiPriority w:val="1"/>
    <w:rPr>
      <w:rFonts w:asciiTheme="minorHAnsi" w:hAnsiTheme="minorHAnsi" w:eastAsiaTheme="minorEastAsia" w:cstheme="minorBidi"/>
      <w:sz w:val="22"/>
      <w:szCs w:val="22"/>
      <w:lang w:val="en-US" w:eastAsia="zh-CN" w:bidi="ar-SA"/>
    </w:rPr>
  </w:style>
  <w:style w:type="character" w:customStyle="1" w:styleId="65">
    <w:name w:val="无间隔 Char"/>
    <w:basedOn w:val="30"/>
    <w:link w:val="64"/>
    <w:qFormat/>
    <w:uiPriority w:val="1"/>
    <w:rPr>
      <w:rFonts w:asciiTheme="minorHAnsi" w:hAnsiTheme="minorHAnsi" w:eastAsiaTheme="minorEastAsia" w:cstheme="minorBidi"/>
      <w:sz w:val="22"/>
      <w:szCs w:val="22"/>
    </w:rPr>
  </w:style>
  <w:style w:type="character" w:customStyle="1" w:styleId="66">
    <w:name w:val="批注文字 Char"/>
    <w:basedOn w:val="30"/>
    <w:link w:val="13"/>
    <w:semiHidden/>
    <w:qFormat/>
    <w:uiPriority w:val="99"/>
    <w:rPr>
      <w:kern w:val="2"/>
      <w:sz w:val="21"/>
      <w:szCs w:val="24"/>
    </w:rPr>
  </w:style>
  <w:style w:type="character" w:customStyle="1" w:styleId="67">
    <w:name w:val="批注主题 Char"/>
    <w:basedOn w:val="66"/>
    <w:link w:val="26"/>
    <w:semiHidden/>
    <w:qFormat/>
    <w:uiPriority w:val="99"/>
    <w:rPr>
      <w:b/>
      <w:bCs/>
      <w:kern w:val="2"/>
      <w:sz w:val="21"/>
      <w:szCs w:val="24"/>
    </w:rPr>
  </w:style>
  <w:style w:type="character" w:customStyle="1" w:styleId="68">
    <w:name w:val="正文文本缩进 2 Char"/>
    <w:basedOn w:val="30"/>
    <w:link w:val="2"/>
    <w:qFormat/>
    <w:uiPriority w:val="99"/>
    <w:rPr>
      <w:szCs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0" Type="http://schemas.openxmlformats.org/officeDocument/2006/relationships/fontTable" Target="fontTable.xml"/><Relationship Id="rId7" Type="http://schemas.openxmlformats.org/officeDocument/2006/relationships/footer" Target="footer3.xml"/><Relationship Id="rId69" Type="http://schemas.openxmlformats.org/officeDocument/2006/relationships/customXml" Target="../customXml/item2.xml"/><Relationship Id="rId68" Type="http://schemas.openxmlformats.org/officeDocument/2006/relationships/numbering" Target="numbering.xml"/><Relationship Id="rId67" Type="http://schemas.openxmlformats.org/officeDocument/2006/relationships/customXml" Target="../customXml/item1.xml"/><Relationship Id="rId66" Type="http://schemas.openxmlformats.org/officeDocument/2006/relationships/image" Target="media/image4.tiff"/><Relationship Id="rId65" Type="http://schemas.openxmlformats.org/officeDocument/2006/relationships/image" Target="media/image3.tiff"/><Relationship Id="rId64" Type="http://schemas.openxmlformats.org/officeDocument/2006/relationships/image" Target="media/image2.tiff"/><Relationship Id="rId63" Type="http://schemas.openxmlformats.org/officeDocument/2006/relationships/image" Target="media/image1.tiff"/><Relationship Id="rId62" Type="http://schemas.openxmlformats.org/officeDocument/2006/relationships/image" Target="media/image36.png"/><Relationship Id="rId61" Type="http://schemas.openxmlformats.org/officeDocument/2006/relationships/image" Target="media/image35.jpeg"/><Relationship Id="rId60" Type="http://schemas.openxmlformats.org/officeDocument/2006/relationships/image" Target="media/image34.jpeg"/><Relationship Id="rId6" Type="http://schemas.openxmlformats.org/officeDocument/2006/relationships/footer" Target="footer2.xml"/><Relationship Id="rId59" Type="http://schemas.openxmlformats.org/officeDocument/2006/relationships/image" Target="media/image33.jpeg"/><Relationship Id="rId58" Type="http://schemas.openxmlformats.org/officeDocument/2006/relationships/image" Target="media/image32.jpeg"/><Relationship Id="rId57" Type="http://schemas.openxmlformats.org/officeDocument/2006/relationships/image" Target="media/image31.jpeg"/><Relationship Id="rId56" Type="http://schemas.openxmlformats.org/officeDocument/2006/relationships/image" Target="media/image30.png"/><Relationship Id="rId55" Type="http://schemas.openxmlformats.org/officeDocument/2006/relationships/image" Target="media/image29.jpeg"/><Relationship Id="rId54" Type="http://schemas.openxmlformats.org/officeDocument/2006/relationships/image" Target="media/image28.jpeg"/><Relationship Id="rId53" Type="http://schemas.openxmlformats.org/officeDocument/2006/relationships/image" Target="media/image27.png"/><Relationship Id="rId52" Type="http://schemas.openxmlformats.org/officeDocument/2006/relationships/image" Target="media/image26.jpeg"/><Relationship Id="rId51" Type="http://schemas.openxmlformats.org/officeDocument/2006/relationships/image" Target="media/image25.jpeg"/><Relationship Id="rId50" Type="http://schemas.openxmlformats.org/officeDocument/2006/relationships/image" Target="media/image24.jpeg"/><Relationship Id="rId5" Type="http://schemas.openxmlformats.org/officeDocument/2006/relationships/footer" Target="footer1.xml"/><Relationship Id="rId49" Type="http://schemas.openxmlformats.org/officeDocument/2006/relationships/image" Target="media/image23.jpeg"/><Relationship Id="rId48" Type="http://schemas.openxmlformats.org/officeDocument/2006/relationships/image" Target="media/image22.jpeg"/><Relationship Id="rId47" Type="http://schemas.openxmlformats.org/officeDocument/2006/relationships/image" Target="media/image21.jpeg"/><Relationship Id="rId46" Type="http://schemas.openxmlformats.org/officeDocument/2006/relationships/image" Target="media/image20.png"/><Relationship Id="rId45" Type="http://schemas.openxmlformats.org/officeDocument/2006/relationships/image" Target="media/image19.png"/><Relationship Id="rId44" Type="http://schemas.openxmlformats.org/officeDocument/2006/relationships/chart" Target="charts/chart1.xml"/><Relationship Id="rId43" Type="http://schemas.openxmlformats.org/officeDocument/2006/relationships/image" Target="media/image18.jpeg"/><Relationship Id="rId42" Type="http://schemas.openxmlformats.org/officeDocument/2006/relationships/image" Target="media/image17.jpeg"/><Relationship Id="rId41" Type="http://schemas.openxmlformats.org/officeDocument/2006/relationships/image" Target="media/image16.jpeg"/><Relationship Id="rId40" Type="http://schemas.openxmlformats.org/officeDocument/2006/relationships/image" Target="media/image15.jpeg"/><Relationship Id="rId4" Type="http://schemas.openxmlformats.org/officeDocument/2006/relationships/header" Target="header2.xml"/><Relationship Id="rId39" Type="http://schemas.openxmlformats.org/officeDocument/2006/relationships/image" Target="media/image14.jpeg"/><Relationship Id="rId38" Type="http://schemas.openxmlformats.org/officeDocument/2006/relationships/image" Target="media/image13.jpeg"/><Relationship Id="rId37" Type="http://schemas.openxmlformats.org/officeDocument/2006/relationships/image" Target="media/image12.jpeg"/><Relationship Id="rId36" Type="http://schemas.openxmlformats.org/officeDocument/2006/relationships/image" Target="media/image11.jpeg"/><Relationship Id="rId35" Type="http://schemas.openxmlformats.org/officeDocument/2006/relationships/image" Target="media/image10.jpeg"/><Relationship Id="rId34" Type="http://schemas.openxmlformats.org/officeDocument/2006/relationships/image" Target="media/image9.png"/><Relationship Id="rId33" Type="http://schemas.openxmlformats.org/officeDocument/2006/relationships/image" Target="media/image8.png"/><Relationship Id="rId32" Type="http://schemas.openxmlformats.org/officeDocument/2006/relationships/image" Target="media/image7.jpeg"/><Relationship Id="rId31" Type="http://schemas.openxmlformats.org/officeDocument/2006/relationships/image" Target="media/image6.png"/><Relationship Id="rId30" Type="http://schemas.openxmlformats.org/officeDocument/2006/relationships/image" Target="media/image5.png"/><Relationship Id="rId3" Type="http://schemas.openxmlformats.org/officeDocument/2006/relationships/header" Target="header1.xml"/><Relationship Id="rId29" Type="http://schemas.openxmlformats.org/officeDocument/2006/relationships/image" Target="media/image4.png"/><Relationship Id="rId28" Type="http://schemas.openxmlformats.org/officeDocument/2006/relationships/image" Target="media/image3.jpeg"/><Relationship Id="rId27" Type="http://schemas.openxmlformats.org/officeDocument/2006/relationships/image" Target="media/image2.png"/><Relationship Id="rId26" Type="http://schemas.openxmlformats.org/officeDocument/2006/relationships/theme" Target="theme/theme1.xml"/><Relationship Id="rId25" Type="http://schemas.openxmlformats.org/officeDocument/2006/relationships/footer" Target="footer19.xml"/><Relationship Id="rId24" Type="http://schemas.openxmlformats.org/officeDocument/2006/relationships/footer" Target="footer18.xml"/><Relationship Id="rId23" Type="http://schemas.openxmlformats.org/officeDocument/2006/relationships/footer" Target="footer17.xml"/><Relationship Id="rId22" Type="http://schemas.openxmlformats.org/officeDocument/2006/relationships/footer" Target="footer16.xml"/><Relationship Id="rId21" Type="http://schemas.openxmlformats.org/officeDocument/2006/relationships/footer" Target="footer15.xml"/><Relationship Id="rId20" Type="http://schemas.openxmlformats.org/officeDocument/2006/relationships/footer" Target="footer14.xml"/><Relationship Id="rId2" Type="http://schemas.openxmlformats.org/officeDocument/2006/relationships/settings" Target="settings.xml"/><Relationship Id="rId19" Type="http://schemas.openxmlformats.org/officeDocument/2006/relationships/footer" Target="footer13.xml"/><Relationship Id="rId18" Type="http://schemas.openxmlformats.org/officeDocument/2006/relationships/footer" Target="footer12.xml"/><Relationship Id="rId17" Type="http://schemas.openxmlformats.org/officeDocument/2006/relationships/footer" Target="footer11.xml"/><Relationship Id="rId16" Type="http://schemas.openxmlformats.org/officeDocument/2006/relationships/footer" Target="footer10.xml"/><Relationship Id="rId15" Type="http://schemas.openxmlformats.org/officeDocument/2006/relationships/footer" Target="footer9.xml"/><Relationship Id="rId14" Type="http://schemas.openxmlformats.org/officeDocument/2006/relationships/header" Target="header4.xml"/><Relationship Id="rId13" Type="http://schemas.openxmlformats.org/officeDocument/2006/relationships/header" Target="header3.xml"/><Relationship Id="rId12" Type="http://schemas.openxmlformats.org/officeDocument/2006/relationships/footer" Target="footer8.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11.xml.rels><?xml version="1.0" encoding="UTF-8" standalone="yes"?>
<Relationships xmlns="http://schemas.openxmlformats.org/package/2006/relationships"><Relationship Id="rId1" Type="http://schemas.openxmlformats.org/officeDocument/2006/relationships/image" Target="media/image1.png"/></Relationships>
</file>

<file path=word/_rels/footer12.xml.rels><?xml version="1.0" encoding="UTF-8" standalone="yes"?>
<Relationships xmlns="http://schemas.openxmlformats.org/package/2006/relationships"><Relationship Id="rId1" Type="http://schemas.openxmlformats.org/officeDocument/2006/relationships/image" Target="media/image1.png"/></Relationships>
</file>

<file path=word/_rels/footer13.xml.rels><?xml version="1.0" encoding="UTF-8" standalone="yes"?>
<Relationships xmlns="http://schemas.openxmlformats.org/package/2006/relationships"><Relationship Id="rId1" Type="http://schemas.openxmlformats.org/officeDocument/2006/relationships/image" Target="media/image1.png"/></Relationships>
</file>

<file path=word/_rels/footer14.xml.rels><?xml version="1.0" encoding="UTF-8" standalone="yes"?>
<Relationships xmlns="http://schemas.openxmlformats.org/package/2006/relationships"><Relationship Id="rId1" Type="http://schemas.openxmlformats.org/officeDocument/2006/relationships/image" Target="media/image1.png"/></Relationships>
</file>

<file path=word/_rels/footer15.xml.rels><?xml version="1.0" encoding="UTF-8" standalone="yes"?>
<Relationships xmlns="http://schemas.openxmlformats.org/package/2006/relationships"><Relationship Id="rId1" Type="http://schemas.openxmlformats.org/officeDocument/2006/relationships/image" Target="media/image1.png"/></Relationships>
</file>

<file path=word/_rels/footer16.xml.rels><?xml version="1.0" encoding="UTF-8" standalone="yes"?>
<Relationships xmlns="http://schemas.openxmlformats.org/package/2006/relationships"><Relationship Id="rId1" Type="http://schemas.openxmlformats.org/officeDocument/2006/relationships/image" Target="media/image1.png"/></Relationships>
</file>

<file path=word/_rels/footer17.xml.rels><?xml version="1.0" encoding="UTF-8" standalone="yes"?>
<Relationships xmlns="http://schemas.openxmlformats.org/package/2006/relationships"><Relationship Id="rId1" Type="http://schemas.openxmlformats.org/officeDocument/2006/relationships/image" Target="media/image1.png"/></Relationships>
</file>

<file path=word/_rels/footer18.xml.rels><?xml version="1.0" encoding="UTF-8" standalone="yes"?>
<Relationships xmlns="http://schemas.openxmlformats.org/package/2006/relationships"><Relationship Id="rId1" Type="http://schemas.openxmlformats.org/officeDocument/2006/relationships/image" Target="media/image1.png"/></Relationships>
</file>

<file path=word/_rels/footer19.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_rels/footer6.xml.rels><?xml version="1.0" encoding="UTF-8" standalone="yes"?>
<Relationships xmlns="http://schemas.openxmlformats.org/package/2006/relationships"><Relationship Id="rId1" Type="http://schemas.openxmlformats.org/officeDocument/2006/relationships/image" Target="media/image1.png"/></Relationships>
</file>

<file path=word/_rels/footer7.xml.rels><?xml version="1.0" encoding="UTF-8" standalone="yes"?>
<Relationships xmlns="http://schemas.openxmlformats.org/package/2006/relationships"><Relationship Id="rId1" Type="http://schemas.openxmlformats.org/officeDocument/2006/relationships/image" Target="media/image1.png"/></Relationships>
</file>

<file path=word/_rels/footer8.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Microsoft%20Word%20&#20013;&#30340;&#22270;&#34920;"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'[Microsoft Word 中的图表]Sheet1'!$D$2</c:f>
              <c:strCache>
                <c:ptCount val="1"/>
                <c:pt idx="0">
                  <c:v>SO2</c:v>
                </c:pt>
              </c:strCache>
            </c:strRef>
          </c:tx>
          <c:dLbls>
            <c:delete val="1"/>
          </c:dLbls>
          <c:cat>
            <c:numRef>
              <c:f>'[Microsoft Word 中的图表]Sheet1'!$C$3:$C$8</c:f>
              <c:numCache>
                <c:formatCode>General</c:formatCode>
                <c:ptCount val="6"/>
                <c:pt idx="0">
                  <c:v>2015</c:v>
                </c:pt>
                <c:pt idx="1">
                  <c:v>2016</c:v>
                </c:pt>
                <c:pt idx="2">
                  <c:v>2017</c:v>
                </c:pt>
                <c:pt idx="3">
                  <c:v>2018</c:v>
                </c:pt>
                <c:pt idx="4">
                  <c:v>2019</c:v>
                </c:pt>
                <c:pt idx="5">
                  <c:v>2020</c:v>
                </c:pt>
              </c:numCache>
            </c:numRef>
          </c:cat>
          <c:val>
            <c:numRef>
              <c:f>'[Microsoft Word 中的图表]Sheet1'!$D$3:$D$8</c:f>
              <c:numCache>
                <c:formatCode>0</c:formatCode>
                <c:ptCount val="6"/>
                <c:pt idx="0">
                  <c:v>21.94</c:v>
                </c:pt>
                <c:pt idx="1">
                  <c:v>22.71</c:v>
                </c:pt>
                <c:pt idx="2">
                  <c:v>19.29</c:v>
                </c:pt>
                <c:pt idx="3">
                  <c:v>14.8</c:v>
                </c:pt>
                <c:pt idx="4">
                  <c:v>6.97</c:v>
                </c:pt>
                <c:pt idx="5" c:formatCode="General">
                  <c:v>8</c:v>
                </c:pt>
              </c:numCache>
            </c:numRef>
          </c:val>
          <c:smooth val="0"/>
        </c:ser>
        <c:ser>
          <c:idx val="1"/>
          <c:order val="1"/>
          <c:tx>
            <c:strRef>
              <c:f>'[Microsoft Word 中的图表]Sheet1'!$E$2</c:f>
              <c:strCache>
                <c:ptCount val="1"/>
                <c:pt idx="0">
                  <c:v>NO2</c:v>
                </c:pt>
              </c:strCache>
            </c:strRef>
          </c:tx>
          <c:dLbls>
            <c:delete val="1"/>
          </c:dLbls>
          <c:cat>
            <c:numRef>
              <c:f>'[Microsoft Word 中的图表]Sheet1'!$C$3:$C$8</c:f>
              <c:numCache>
                <c:formatCode>General</c:formatCode>
                <c:ptCount val="6"/>
                <c:pt idx="0">
                  <c:v>2015</c:v>
                </c:pt>
                <c:pt idx="1">
                  <c:v>2016</c:v>
                </c:pt>
                <c:pt idx="2">
                  <c:v>2017</c:v>
                </c:pt>
                <c:pt idx="3">
                  <c:v>2018</c:v>
                </c:pt>
                <c:pt idx="4">
                  <c:v>2019</c:v>
                </c:pt>
                <c:pt idx="5">
                  <c:v>2020</c:v>
                </c:pt>
              </c:numCache>
            </c:numRef>
          </c:cat>
          <c:val>
            <c:numRef>
              <c:f>'[Microsoft Word 中的图表]Sheet1'!$E$3:$E$8</c:f>
              <c:numCache>
                <c:formatCode>0</c:formatCode>
                <c:ptCount val="6"/>
                <c:pt idx="0">
                  <c:v>25.62</c:v>
                </c:pt>
                <c:pt idx="1">
                  <c:v>39.22</c:v>
                </c:pt>
                <c:pt idx="2">
                  <c:v>41.44</c:v>
                </c:pt>
                <c:pt idx="3">
                  <c:v>38.8</c:v>
                </c:pt>
                <c:pt idx="4">
                  <c:v>23.41</c:v>
                </c:pt>
                <c:pt idx="5" c:formatCode="General">
                  <c:v>25</c:v>
                </c:pt>
              </c:numCache>
            </c:numRef>
          </c:val>
          <c:smooth val="0"/>
        </c:ser>
        <c:ser>
          <c:idx val="2"/>
          <c:order val="2"/>
          <c:tx>
            <c:strRef>
              <c:f>'[Microsoft Word 中的图表]Sheet1'!$F$2</c:f>
              <c:strCache>
                <c:ptCount val="1"/>
                <c:pt idx="0">
                  <c:v>PM10</c:v>
                </c:pt>
              </c:strCache>
            </c:strRef>
          </c:tx>
          <c:dLbls>
            <c:delete val="1"/>
          </c:dLbls>
          <c:cat>
            <c:numRef>
              <c:f>'[Microsoft Word 中的图表]Sheet1'!$C$3:$C$8</c:f>
              <c:numCache>
                <c:formatCode>General</c:formatCode>
                <c:ptCount val="6"/>
                <c:pt idx="0">
                  <c:v>2015</c:v>
                </c:pt>
                <c:pt idx="1">
                  <c:v>2016</c:v>
                </c:pt>
                <c:pt idx="2">
                  <c:v>2017</c:v>
                </c:pt>
                <c:pt idx="3">
                  <c:v>2018</c:v>
                </c:pt>
                <c:pt idx="4">
                  <c:v>2019</c:v>
                </c:pt>
                <c:pt idx="5">
                  <c:v>2020</c:v>
                </c:pt>
              </c:numCache>
            </c:numRef>
          </c:cat>
          <c:val>
            <c:numRef>
              <c:f>'[Microsoft Word 中的图表]Sheet1'!$F$3:$F$8</c:f>
              <c:numCache>
                <c:formatCode>0</c:formatCode>
                <c:ptCount val="6"/>
                <c:pt idx="0">
                  <c:v>81.07</c:v>
                </c:pt>
                <c:pt idx="1">
                  <c:v>86.22</c:v>
                </c:pt>
                <c:pt idx="2">
                  <c:v>99.85</c:v>
                </c:pt>
                <c:pt idx="3">
                  <c:v>86.52</c:v>
                </c:pt>
                <c:pt idx="4">
                  <c:v>87.22</c:v>
                </c:pt>
                <c:pt idx="5">
                  <c:v>83</c:v>
                </c:pt>
              </c:numCache>
            </c:numRef>
          </c:val>
          <c:smooth val="0"/>
        </c:ser>
        <c:ser>
          <c:idx val="4"/>
          <c:order val="4"/>
          <c:tx>
            <c:strRef>
              <c:f>'[Microsoft Word 中的图表]Sheet1'!$H$2</c:f>
              <c:strCache>
                <c:ptCount val="1"/>
                <c:pt idx="0">
                  <c:v>O3-8h</c:v>
                </c:pt>
              </c:strCache>
            </c:strRef>
          </c:tx>
          <c:dLbls>
            <c:delete val="1"/>
          </c:dLbls>
          <c:cat>
            <c:numRef>
              <c:f>'[Microsoft Word 中的图表]Sheet1'!$C$3:$C$8</c:f>
              <c:numCache>
                <c:formatCode>General</c:formatCode>
                <c:ptCount val="6"/>
                <c:pt idx="0">
                  <c:v>2015</c:v>
                </c:pt>
                <c:pt idx="1">
                  <c:v>2016</c:v>
                </c:pt>
                <c:pt idx="2">
                  <c:v>2017</c:v>
                </c:pt>
                <c:pt idx="3">
                  <c:v>2018</c:v>
                </c:pt>
                <c:pt idx="4">
                  <c:v>2019</c:v>
                </c:pt>
                <c:pt idx="5">
                  <c:v>2020</c:v>
                </c:pt>
              </c:numCache>
            </c:numRef>
          </c:cat>
          <c:val>
            <c:numRef>
              <c:f>'[Microsoft Word 中的图表]Sheet1'!$H$3:$H$8</c:f>
              <c:numCache>
                <c:formatCode>0</c:formatCode>
                <c:ptCount val="6"/>
                <c:pt idx="0">
                  <c:v>105.7</c:v>
                </c:pt>
                <c:pt idx="1">
                  <c:v>152</c:v>
                </c:pt>
                <c:pt idx="2">
                  <c:v>177</c:v>
                </c:pt>
                <c:pt idx="3">
                  <c:v>166</c:v>
                </c:pt>
                <c:pt idx="4">
                  <c:v>179</c:v>
                </c:pt>
                <c:pt idx="5">
                  <c:v>139</c:v>
                </c:pt>
              </c:numCache>
            </c:numRef>
          </c:val>
          <c:smooth val="0"/>
        </c:ser>
        <c:ser>
          <c:idx val="5"/>
          <c:order val="5"/>
          <c:tx>
            <c:strRef>
              <c:f>'[Microsoft Word 中的图表]Sheet1'!$I$2</c:f>
              <c:strCache>
                <c:ptCount val="1"/>
                <c:pt idx="0">
                  <c:v>PM2.5</c:v>
                </c:pt>
              </c:strCache>
            </c:strRef>
          </c:tx>
          <c:dLbls>
            <c:delete val="1"/>
          </c:dLbls>
          <c:cat>
            <c:numRef>
              <c:f>'[Microsoft Word 中的图表]Sheet1'!$C$3:$C$8</c:f>
              <c:numCache>
                <c:formatCode>General</c:formatCode>
                <c:ptCount val="6"/>
                <c:pt idx="0">
                  <c:v>2015</c:v>
                </c:pt>
                <c:pt idx="1">
                  <c:v>2016</c:v>
                </c:pt>
                <c:pt idx="2">
                  <c:v>2017</c:v>
                </c:pt>
                <c:pt idx="3">
                  <c:v>2018</c:v>
                </c:pt>
                <c:pt idx="4">
                  <c:v>2019</c:v>
                </c:pt>
                <c:pt idx="5">
                  <c:v>2020</c:v>
                </c:pt>
              </c:numCache>
            </c:numRef>
          </c:cat>
          <c:val>
            <c:numRef>
              <c:f>'[Microsoft Word 中的图表]Sheet1'!$I$3:$I$8</c:f>
              <c:numCache>
                <c:formatCode>0</c:formatCode>
                <c:ptCount val="6"/>
                <c:pt idx="0">
                  <c:v>59.79</c:v>
                </c:pt>
                <c:pt idx="1">
                  <c:v>64.88</c:v>
                </c:pt>
                <c:pt idx="2">
                  <c:v>70.48</c:v>
                </c:pt>
                <c:pt idx="3">
                  <c:v>56.08</c:v>
                </c:pt>
                <c:pt idx="4">
                  <c:v>51.16</c:v>
                </c:pt>
                <c:pt idx="5">
                  <c:v>47</c:v>
                </c:pt>
              </c:numCache>
            </c:numRef>
          </c:val>
          <c:smooth val="0"/>
        </c:ser>
        <c:dLbls>
          <c:showLegendKey val="0"/>
          <c:showVal val="0"/>
          <c:showCatName val="0"/>
          <c:showSerName val="0"/>
          <c:showPercent val="0"/>
          <c:showBubbleSize val="0"/>
        </c:dLbls>
        <c:marker val="1"/>
        <c:smooth val="0"/>
        <c:axId val="186382976"/>
        <c:axId val="211251584"/>
      </c:lineChart>
      <c:lineChart>
        <c:grouping val="standard"/>
        <c:varyColors val="0"/>
        <c:ser>
          <c:idx val="3"/>
          <c:order val="3"/>
          <c:tx>
            <c:strRef>
              <c:f>'[Microsoft Word 中的图表]Sheet1'!$G$2</c:f>
              <c:strCache>
                <c:ptCount val="1"/>
                <c:pt idx="0">
                  <c:v>CO</c:v>
                </c:pt>
              </c:strCache>
            </c:strRef>
          </c:tx>
          <c:dLbls>
            <c:delete val="1"/>
          </c:dLbls>
          <c:cat>
            <c:numRef>
              <c:f>'[Microsoft Word 中的图表]Sheet1'!$C$3:$C$8</c:f>
              <c:numCache>
                <c:formatCode>General</c:formatCode>
                <c:ptCount val="6"/>
                <c:pt idx="0">
                  <c:v>2015</c:v>
                </c:pt>
                <c:pt idx="1">
                  <c:v>2016</c:v>
                </c:pt>
                <c:pt idx="2">
                  <c:v>2017</c:v>
                </c:pt>
                <c:pt idx="3">
                  <c:v>2018</c:v>
                </c:pt>
                <c:pt idx="4">
                  <c:v>2019</c:v>
                </c:pt>
                <c:pt idx="5">
                  <c:v>2020</c:v>
                </c:pt>
              </c:numCache>
            </c:numRef>
          </c:cat>
          <c:val>
            <c:numRef>
              <c:f>'[Microsoft Word 中的图表]Sheet1'!$G$3:$G$8</c:f>
              <c:numCache>
                <c:formatCode>0.0</c:formatCode>
                <c:ptCount val="6"/>
                <c:pt idx="0">
                  <c:v>1.785</c:v>
                </c:pt>
                <c:pt idx="1">
                  <c:v>1.975</c:v>
                </c:pt>
                <c:pt idx="2">
                  <c:v>1.585</c:v>
                </c:pt>
                <c:pt idx="3">
                  <c:v>1.4</c:v>
                </c:pt>
                <c:pt idx="4">
                  <c:v>1.1</c:v>
                </c:pt>
                <c:pt idx="5" c:formatCode="General">
                  <c:v>0.8</c:v>
                </c:pt>
              </c:numCache>
            </c:numRef>
          </c:val>
          <c:smooth val="0"/>
        </c:ser>
        <c:dLbls>
          <c:showLegendKey val="0"/>
          <c:showVal val="0"/>
          <c:showCatName val="0"/>
          <c:showSerName val="0"/>
          <c:showPercent val="0"/>
          <c:showBubbleSize val="0"/>
        </c:dLbls>
        <c:marker val="1"/>
        <c:smooth val="0"/>
        <c:axId val="211253504"/>
        <c:axId val="211267584"/>
      </c:lineChart>
      <c:catAx>
        <c:axId val="186382976"/>
        <c:scaling>
          <c:orientation val="minMax"/>
        </c:scaling>
        <c:delete val="0"/>
        <c:axPos val="b"/>
        <c:numFmt formatCode="General" sourceLinked="1"/>
        <c:majorTickMark val="none"/>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211251584"/>
        <c:crosses val="autoZero"/>
        <c:auto val="1"/>
        <c:lblAlgn val="ctr"/>
        <c:lblOffset val="100"/>
        <c:noMultiLvlLbl val="0"/>
      </c:catAx>
      <c:valAx>
        <c:axId val="211251584"/>
        <c:scaling>
          <c:orientation val="minMax"/>
        </c:scaling>
        <c:delete val="0"/>
        <c:axPos val="l"/>
        <c:majorGridlines/>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en-US"/>
                  <a:t>年均浓度：（</a:t>
                </a:r>
                <a:r>
                  <a:rPr lang="en-US" altLang="zh-CN"/>
                  <a:t>ug/m</a:t>
                </a:r>
                <a:r>
                  <a:rPr lang="en-US" altLang="zh-CN" baseline="30000"/>
                  <a:t>3</a:t>
                </a:r>
                <a:r>
                  <a:rPr lang="en-US" altLang="zh-CN" baseline="0"/>
                  <a:t>)</a:t>
                </a:r>
                <a:endParaRPr lang="zh-CN" altLang="en-US" baseline="30000"/>
              </a:p>
            </c:rich>
          </c:tx>
          <c:layout/>
          <c:overlay val="0"/>
        </c:title>
        <c:numFmt formatCode="0" sourceLinked="1"/>
        <c:majorTickMark val="none"/>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186382976"/>
        <c:crosses val="autoZero"/>
        <c:crossBetween val="between"/>
      </c:valAx>
      <c:catAx>
        <c:axId val="211253504"/>
        <c:scaling>
          <c:orientation val="minMax"/>
        </c:scaling>
        <c:delete val="1"/>
        <c:axPos val="b"/>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211267584"/>
        <c:crosses val="autoZero"/>
        <c:auto val="1"/>
        <c:lblAlgn val="ctr"/>
        <c:lblOffset val="100"/>
        <c:noMultiLvlLbl val="0"/>
      </c:catAx>
      <c:valAx>
        <c:axId val="211267584"/>
        <c:scaling>
          <c:orientation val="minMax"/>
        </c:scaling>
        <c:delete val="0"/>
        <c:axPos val="r"/>
        <c:title>
          <c:tx>
            <c:rich>
              <a:bodyPr rot="-540000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en-US" altLang="zh-CN"/>
                  <a:t>CO</a:t>
                </a:r>
                <a:r>
                  <a:rPr lang="zh-CN" altLang="en-US"/>
                  <a:t>年均浓度：（</a:t>
                </a:r>
                <a:r>
                  <a:rPr lang="en-US" altLang="zh-CN"/>
                  <a:t>mg/m</a:t>
                </a:r>
                <a:r>
                  <a:rPr lang="en-US" altLang="zh-CN" strike="noStrike" baseline="30000"/>
                  <a:t>3</a:t>
                </a:r>
                <a:r>
                  <a:rPr lang="en-US" altLang="zh-CN" strike="noStrike" baseline="0"/>
                  <a:t>)</a:t>
                </a:r>
                <a:endParaRPr lang="zh-CN" altLang="en-US" strike="noStrike" baseline="30000"/>
              </a:p>
            </c:rich>
          </c:tx>
          <c:layout>
            <c:manualLayout>
              <c:xMode val="edge"/>
              <c:yMode val="edge"/>
              <c:x val="0.951326798178139"/>
              <c:y val="0.237361863036166"/>
            </c:manualLayout>
          </c:layout>
          <c:overlay val="0"/>
        </c:title>
        <c:numFmt formatCode="0.0"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211253504"/>
        <c:crosses val="max"/>
        <c:crossBetween val="between"/>
      </c:valAx>
    </c:plotArea>
    <c:legend>
      <c:legendPos val="b"/>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legend>
    <c:plotVisOnly val="1"/>
    <c:dispBlanksAs val="gap"/>
    <c:showDLblsOverMax val="0"/>
  </c:chart>
  <c:txPr>
    <a:bodyPr/>
    <a:lstStyle/>
    <a:p>
      <a:pPr>
        <a:defRPr lang="zh-CN"/>
      </a:pPr>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B227F00-8AEC-4144-8F2E-2AC83FAEE1BE}">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107</Pages>
  <Words>8049</Words>
  <Characters>45880</Characters>
  <Lines>382</Lines>
  <Paragraphs>107</Paragraphs>
  <TotalTime>9997</TotalTime>
  <ScaleCrop>false</ScaleCrop>
  <LinksUpToDate>false</LinksUpToDate>
  <CharactersWithSpaces>53822</CharactersWithSpaces>
  <Application>WPS Office_11.1.0.8976_F1E327BC-269C-435d-A152-05C5408002CA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2020-12-14T02:05:00Z</dcterms:created>
  <dc:creator>PC</dc:creator>
  <cp:lastModifiedBy>WPS_1527905049</cp:lastModifiedBy>
  <cp:lastPrinted>2021-10-09T01:46:14Z</cp:lastPrinted>
  <dcterms:modified xsi:type="dcterms:W3CDTF">2021-10-09T07:24:10Z</dcterms:modified>
  <cp:revision>207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2052-11.1.0.8976</vt:lpwstr>
  </property>
  <property fmtid="{D5CDD505-2E9C-101B-9397-08002B2CF9AE}" pid="3" name="ICV">
    <vt:lpwstr>990B7BFA873A43DC84D373418F2AAAE4</vt:lpwstr>
  </property>
</Properties>
</file>